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https://www.bundeskartellamt.de/SharedDocs/Entscheidung/DE/Entscheidungen/Fusionskontrolle/2008/B8-134-07.pdf?__blob=publicationFile&amp;v=1</w:t>
      </w:r>
    </w:p>
    <w:p>
      <w:r>
        <w:t>Pages translated : 36</w:t>
      </w:r>
    </w:p>
    <w:p/>
    <w:p>
      <w:r>
        <w:rPr>
          <w:b/>
        </w:rPr>
        <w:t>[Pages 1–3]</w:t>
      </w:r>
    </w:p>
    <w:p>
      <w:r>
        <w:t xml:space="preserve">BUNDESKARTELLAMT FOR PUBLICATION  </w:t>
        <w:br/>
        <w:t xml:space="preserve">8. Decision Division  </w:t>
        <w:br/>
        <w:t xml:space="preserve">File No.: B 8 - 50501 - Fa - 134/07  </w:t>
        <w:br/>
        <w:t xml:space="preserve">MERGER PROCEDURE  </w:t>
        <w:br/>
        <w:t xml:space="preserve">ORDER PURSUANT TO § 40 ABS. 2 GWB  </w:t>
        <w:br/>
        <w:t xml:space="preserve">D e c i s i o n  </w:t>
        <w:br/>
        <w:t xml:space="preserve">In the administrative procedure  </w:t>
        <w:br/>
        <w:t xml:space="preserve">1. of Shell Deutschland Oil GmbH, Hamburg,  </w:t>
        <w:br/>
        <w:t xml:space="preserve">Participant 1,  </w:t>
        <w:br/>
        <w:t xml:space="preserve">- Legal representatives:  </w:t>
        <w:br/>
        <w:t xml:space="preserve">Attorneys of the law firm CMS Hasche Sigle  </w:t>
        <w:br/>
        <w:t xml:space="preserve">Dr. Hans-Dieter Lübbert and Markus Schöner  </w:t>
        <w:br/>
        <w:t xml:space="preserve">Stadthausbrücke 1-3  </w:t>
        <w:br/>
        <w:t xml:space="preserve">20355 Hamburg -  </w:t>
        <w:br/>
        <w:t xml:space="preserve">2. of Hanseatic Petrol Vertriebs GmbH, Berlin,  </w:t>
        <w:br/>
        <w:t xml:space="preserve">Participant 2,  </w:t>
        <w:br/>
        <w:t xml:space="preserve">regarding the examination of a merger project pursuant to § 36 Abs. 1 of the Act against Restraints of Competition (GWB), the 8th Decision Division of the Federal Cartel Office decided on March 7, 2008:  </w:t>
        <w:br/>
        <w:t xml:space="preserve">1. The merger is approved pursuant to § 40 Abs. 2 Sentence 1 GWB.  </w:t>
        <w:br/>
        <w:t>2. The fee for this decision is set at [...] EUR, taking into account the separately determined fee of [...] for the registration of the merger, and is imposed on Participant 1.</w:t>
      </w:r>
    </w:p>
    <w:p>
      <w:r>
        <w:t xml:space="preserve">A. REASONS  </w:t>
        <w:br/>
        <w:t xml:space="preserve">(1) The merger project was to be approved. Although the Decision Division, based on the results of its market investigation, assumes that Participant 1, Shell Deutschland Oil GmbH, Hamburg (hereinafter: "Shell"), holds a dominant position in the sale of gasoline and diesel fuel through road gas stations, as there is no significant competition between the oil companies Shell, BP/Aral, Esso, Total, and ConocoPhillips/Jet within the meaning of § 19 Abs. 2 and 3 GWB, and this group of companies holds a superior market position relative to other competitors. However, the planned acquisition of a total of six road gas stations from Participant 2, Hanseatic Petrol Vertriebs GmbH, Berlin (hereinafter: "HPV"), does not, even when viewed regionally, lead to an expected prohibitable deterioration in the gas station markets affected by the project.  </w:t>
        <w:br/>
        <w:t xml:space="preserve">I. Merger Project and Procedure  </w:t>
        <w:br/>
        <w:t xml:space="preserve">(2) Shell operates domestically, either directly or indirectly, at all levels of the fuel economy. It intends to acquire a total of six road gas stations located in Berlin, Eisleben, Erkner, Fredersdorf-Vogelsdorf, and Nordhausen from HPV. Other road gas stations operated by HPV are not part of the merger.  </w:t>
        <w:br/>
        <w:t xml:space="preserve">(3) Shell registered its project with the Federal Cartel Office on October 23, 2007, in accordance with § 39 GWB. The initially incomplete registration, at least with regard to the revenues of the gas stations to be acquired, was supplemented by fax letters from Shell dated November 6, 2007, and from HPV dated November 7, 2007. For details, reference is made to the aforementioned letters dated October 23, November 6, and November 7, 2007.  </w:t>
        <w:br/>
        <w:t xml:space="preserve">(4) The Decision Division determined that the project constitutes a merger subject to control under §§ 35 et seq. GWB and informed Shell on November 23, 2007, about the initiation of the main examination procedure.  </w:t>
        <w:br/>
        <w:t xml:space="preserve">(5) By letter dated February 19, 2008, the Decision Division informed Shell and HPV, and by letter dated February 20, 2008, the state cartel authorities of the Free and Hanseatic City of Hamburg and the State of Berlin, that it intends to approve the project. The Decision Division assumes, based on the results of its investigations, that there is no significant competition between the oil companies Shell, BP/Aral, Esso, Total, and ConocoPhillips/Jet in the sale of gasoline and diesel fuel through road gas stations within the meaning of § 19 Abs. 2 and 3 GWB, and that this group of companies holds a superior market position relative to other competitors. However, the planned acquisition does not lead to an expected prohibitable deterioration in the markets affected by the project.  </w:t>
        <w:br/>
        <w:t xml:space="preserve">(6) The state cartel authority of the Free and Hanseatic City of Hamburg stated in a letter dated February 25, 2008, that it has no objections to the intended approval of the project. The cartel authority of the State of Berlin did not comment.  </w:t>
        <w:br/>
        <w:t xml:space="preserve">(7) Shell responded to the notification from the Decision Division dated February 19, 2008, with a letter from its attorney dated February 29, 2008. It elaborated on its position already expressed in the registration, among other things based on its own calculations and estimates, asserting that neither a joint oligopolistic dominance exists nor will it arise from the merger. The Decision Division had previously granted Shell access to the non-confidential parts of the case file as requested, by sending corresponding photocopies with a letter dated February 22, 2008. HPV did not request access to the file and did not comment on the letter from the Decision Division dated February 19, 2008.  </w:t>
        <w:br/>
        <w:t>(8) The Decision Division bases its assessment of the merger not only on official information but also on publicly available or commercially accessible sources recognized in the oil industry, such as statistics from the Federal Office for Economic Affairs and Export Control, as well as publications from the Mineral Oil Industry Association e.V., the Economic Association for Oil and Natural Gas Production e.V., and industry information services such as PLATTS, Europe Oil Telegram, Energy Information Service, among others, as well as extensive market data that the Decision Division itself collected in the course of this procedure. To determine the product markets affected by the merger, the market position of the merger participants, and the actual and expected competitive relationships, detailed inquiries were directed to 20 oil companies operating in Germany, including Shell, BP/Aral, Esso, Total, and Conoco/Jet, regarding their business relationships in the gas station business as well as at the upstream levels of fuel wholesale and refinery production between the years 2001 and 2006. The operating companies of the three joint refineries in Ingolstadt, Karlsruhe, and Schwedt, the Independent Tank Storage Association e.V. (UTV), the largest domestic tank storage company independent of the mineral oil products trade, Tanquid, and the independent oil company Marquard &amp; Bahls were also surveyed. All written requests for information</w:t>
      </w:r>
    </w:p>
    <w:p>
      <w:r>
        <w:rPr>
          <w:b/>
        </w:rPr>
        <w:t>[Pages 4–6]</w:t>
      </w:r>
    </w:p>
    <w:p>
      <w:r>
        <w:t xml:space="preserve">4  </w:t>
        <w:br/>
        <w:t xml:space="preserve">the companies that were requested for information have provided details for their business in Germany, in one case only after the delivery of a formal information order. However, the addressees predominantly claimed that the requested data could not be provided in the requested level of detail within the tight response deadlines, given the annual financial statements to be prepared and due to IT-related reasons, and that it would have to be determined only with significant effort (because it would have to be done manually). Therefore, for the years that are the furthest back, data could only be collected in part and with gaps. For the purposes of regional market analysis, the Federal Office for Building and Regional Planning (BBR) has provided assistance to the decision-making department.  </w:t>
        <w:br/>
        <w:t xml:space="preserve">II. Involved Companies  </w:t>
        <w:br/>
        <w:t xml:space="preserve">(9) Shell is a corporate entity of Royal Dutch Shell plc, London/UK. According to the registration, the consolidated sales revenues of the Shell Group amounted to approximately EUR 253.938 billion worldwide in the fiscal year 2006, of which approximately [...] EUR were generated in all member states of the European Union and approximately EUR 21.184 billion in Germany.  </w:t>
        <w:br/>
        <w:t xml:space="preserve">(10) HPV is a medium-sized oil company and operates a network of around 130 service stations in Germany under the brand name "GO" (for "Germania Oil"), which initially arose from the acquisition of former East German Minol service stations. According to the registration, the six service stations affected by the merger generated net sales revenues of approximately [...] million EUR in the fiscal year 2006, all in Germany.  </w:t>
        <w:br/>
        <w:t xml:space="preserve">III. Formal Review  </w:t>
        <w:br/>
        <w:t xml:space="preserve">(11) The registered acquisition is subject to merger control under the GWB, as the merger thresholds for control and (with regard to the Berlin-Marzahn service station) asset acquisition are met and the national revenue thresholds are exceeded (§§ 35, 37 Abs. 1 Nr. 1 und 2 GWB). The project does not have community-wide significance within the meaning of the EC Merger Control Regulation No. 139/2004, as the EU-wide sales revenues of the acquired service stations did not exceed EUR 100 million in the last fiscal year prior to the intended merger (cf. § 35 Abs. 3 GWB).  </w:t>
        <w:br/>
        <w:t xml:space="preserve">IV. Competitive Assessment  </w:t>
        <w:br/>
        <w:t xml:space="preserve">(12) The registered merger is to be approved (§ 40 Abs. 2 Satz 1 GWB), as it is not expected to strengthen the dominant market position that Shell holds, according to the findings of the decision-making department, in the sale of gasoline and diesel fuel to end consumers through publicly accessible service stations, jointly with the oil companies BP/Aral, Esso, Total, and ConocoPhillips/Jet (§ 36 Abs. 1, 1. Halbsatz GWB).  </w:t>
        <w:br/>
        <w:t xml:space="preserve">1. Fuel Sector in Germany  </w:t>
        <w:br/>
        <w:t xml:space="preserve">(13) The demand for fuels in Germany is predominantly met by domestic production (manufacturing of fuels in refineries from crude oil) and partly by imports. Domestic production of petroleum products is limited to a few locations and had a crude oil throughput capacity of 119 million tons in 2006, which accounts for about 3% of the global crude oil processing capacity. Overall, Germany is a net exporter of fuels. However, since Germany has only a small domestic production of crude oil relative to domestic demand (3.51 million tons in total in 2006), the raw material for distillation in the refineries must predominantly be imported. The main importing countries are Russia (33.7%), Norway (16.9%), the United Kingdom (12.1%), Libya (11.3%), and Kazakhstan (7.0%); the remaining 19% are sourced from a total of 26 other countries worldwide.  </w:t>
        <w:br/>
        <w:t xml:space="preserve">(14) Domestic refinery production of fuels in 2006 (in million tons):  </w:t>
        <w:br/>
        <w:t xml:space="preserve">Diesel fuel 34.27  </w:t>
        <w:br/>
        <w:t xml:space="preserve">Gasoline fuels (total) 24.85  </w:t>
        <w:br/>
        <w:t xml:space="preserve">Total 59.12.  </w:t>
        <w:br/>
        <w:t xml:space="preserve">(15) The quantity of exported fuels in 2006 (in million tons):  </w:t>
        <w:br/>
        <w:t xml:space="preserve">Diesel fuel 9.14  </w:t>
        <w:br/>
        <w:t xml:space="preserve">Gasoline fuels (total) 4.47  </w:t>
        <w:br/>
        <w:t xml:space="preserve">Total 13.61.  </w:t>
        <w:br/>
        <w:t xml:space="preserve">(16) The quantity of imported fuels in 2006 (in million tons):  </w:t>
        <w:br/>
        <w:t xml:space="preserve">Diesel fuel 3.36  </w:t>
        <w:br/>
        <w:t xml:space="preserve">Gasoline fuels (total) 1.79  </w:t>
        <w:br/>
        <w:t xml:space="preserve">Total 5.15.  </w:t>
        <w:br/>
        <w:t xml:space="preserve">(17) The total domestic sales of fuels in 2006 (in million tons):  </w:t>
        <w:br/>
        <w:t xml:space="preserve">Diesel fuel 29.13  </w:t>
        <w:br/>
        <w:t xml:space="preserve">Gasoline fuels (total) 22.60  </w:t>
        <w:br/>
        <w:t xml:space="preserve">Total 51.73.  </w:t>
        <w:br/>
        <w:t xml:space="preserve">2. Objective Market Delimitation  </w:t>
        <w:br/>
        <w:t xml:space="preserve">(18) Crude oil is a mixture of hydrocarbons, and during its processing, all products initially occur as they naturally exist in the crude oil. In the first processing stage – crude oil distillation – basic products such as raw gasoline and middle distillates (diesel or light heating oil) as well as heavy heating oil are obtained, whose ratio to each other can hardly be altered by distillation according to the state of the art (joint production). During the refining of crude oil, for chemical reasons, a number of other products are produced alongside diesel and gasoline fuels, which partly serve adjacent markets (e.g., jet fuel, light heating oil, lubricants, liquefied gas, and more), and partly relate more to the area of so-called petrochemicals (e.g., waxes, paraffins, petroleum jelly, naphtha, bitumen, and others). The supply and demand structures of the various product markets differ significantly in some cases. For the purposes of assessing this case (fuel retail in the service station business), no further market definitions are required, as the respective petroleum products, although derived from the same raw material, are generally not interchangeable from the perspective of demand after their refinement based on their intended uses.  </w:t>
        <w:br/>
        <w:t>(19) According to Shell, the project concerns a unified sales market for the distribution of gasoline and diesel fuel through service stations, as essentially the same competitive conditions apply for both types of fuel. This corresponds to the previous practice of the decision-making department in the cases "Shell/DEA" (Case No. B8-120/01) and "BP/E.ON (Aral)" (Case No. B8-130/01) as well as older decisions of the European Commission, such as in the cases "BP/Mobil" (IV/M.727), "Shell UK/Gulf Oil" (IV/M. 1013), and "Exxon/Mobil" (IV/M. 1383). The decision-making department has doubts as to whether the reasoning underlying this practice is still valid today. Thus, gasoline and diesel fuel are not interchangeable from the perspective of demand once a decision has been made for a specific engine technology. Even if service stations offer not only one type of fuel but consistently both gasoline and diesel fuel, they</w:t>
      </w:r>
    </w:p>
    <w:p>
      <w:r>
        <w:rPr>
          <w:b/>
        </w:rPr>
        <w:t>[Pages 7–9]</w:t>
      </w:r>
    </w:p>
    <w:p>
      <w:r>
        <w:t xml:space="preserve">7  </w:t>
        <w:br/>
        <w:t xml:space="preserve">the competitive conditions for gasoline and diesel fuel are therefore not necessarily the same. Furthermore, the demand for middle distillates (heating oil, diesel) is generally higher in winter than in summer, while the demand for gasoline is higher in summer than in winter. In its decision in the case "TotalFina/Elf" (COMP/M.1628), the European Commission determined that each individual refinery product (there: leaded and unleaded gasoline, diesel fuel, and heating oil) constitutes a separate relevant market that differs from that of other products.  </w:t>
        <w:br/>
        <w:t xml:space="preserve">(20) For the purpose of this decision, however, the previous overall market consideration, also supported by Shell, can be applied. While all affected gas station operators offer both gasoline and diesel fuel, the investigations have not provided any indications that a separation of fuels would lead to different results than an overall consideration. Thus, all oil companies essentially sell diesel fuel and gasoline in the same ratio.  </w:t>
        <w:br/>
        <w:t xml:space="preserve">3. Spatial Market Delimitation  </w:t>
        <w:br/>
        <w:t xml:space="preserve">(21) Also in spatial terms, the actual alternatives available to the consumers (here: motorists) are decisive for the competitive consideration according to the demand market principle. For them, it must still be economically sensible to procure the affected products in the respective area.  </w:t>
        <w:br/>
        <w:t xml:space="preserve">(22) The gas station fuel markets are spatially limited to the domestic market. A regional consideration is supported by the actual demand behavior, which can be approximately determined by distance or accessibility for motorists in driving minutes. Defining regional markets based on distance is consistent with recognized practice (cf. BGH, WuW/E DE-R 1301, 1304 – Sanacorp/ANZAG; OLG Düsseldorf, WuW/E DE-R 1625-1631 – GfK Köthen). The focus should be on a macroeconomic consideration of the actual market conditions oriented towards the demand side and ultimately on the spatial substitution possibilities available to a consumer regarding the affected economic good.  </w:t>
        <w:br/>
        <w:t xml:space="preserve">(23) Shell advocates for a nationwide delimitation. Regionally, the competitive conditions would not differ significantly, and the procurement behavior of consumers is homogeneous. Furthermore, there is a reaction interconnection in the gas station sector. A price impulse propagates through neighboring gas stations and thus spreads across the entire country. However, in the opinion of the decision-making department, the demand-side arguments outweigh. A regional market delimitation for the sale of fuels to end consumers is appropriate according to general life experience, as gas station customers typically meet their fuel needs within a variable radius around their business or residence (cf. for the abuse provision of § 20 Abs. 4 Satz 2 GWB OLG Düsseldorf, WuW/E DE-R 589-600 – Free Gas Stations). Investigations, however, did not reveal a nationwide price reaction interconnection among gas stations. [confidential details on Shell's pricing strategy].  </w:t>
        <w:br/>
        <w:t xml:space="preserve">(24) The delimitation of those areas where it is still economically sensible for motorists to visit alternative gas stations in the present case is difficult. Traffic surveys of customers at the six affected locations regarding their spatial demand behavior were not possible for the decision-making department within the tight deadlines of the merger control. Additionally, the market survey of the most important providers in the gas station business regarding competitive conditions did not yield new indications in this respect. Furthermore, the sale of fuels at gas stations is largely anonymized as a mass business of daily life, making it difficult for gas station companies to provide information about the origin or route of their customers.  </w:t>
        <w:br/>
        <w:t xml:space="preserve">For the assessment of the regional competitive conditions around the affected gas stations in the eastern Berlin area as well as in Nordhausen and Eisleben, the decision-making department therefore sought the assistance of the Federal Office for Building and Regional Planning (BBR). The BBR is a federal authority in the business area of the Federal Ministry of Transport, Building and Urban Development, which supports the federal government through expert scientific advice in the policy areas of regional planning, urban development, housing, and construction/architecture. In connection with tasks of spatial planning, the BBR creates so-called labor market regions. These are – broadly speaking – regions where people both live and work. Since it is typically the case that refueling occurs either in the residential environment, on the way to work, or in the work environment, these regions can generally be seen as a starting point for the spatial delimitation of markets for the sale of fuels at roadside gas stations.  </w:t>
        <w:br/>
        <w:t xml:space="preserve">(25) The spatial planning delimitation of the various labor market regions is based on commuting routes from the place of residence to the workplace, as economic activity is mainly concentrated in centers to which the workforce commutes from the surrounding areas. The boundary of each labor market region is determined by the minimum of these commuting interconnections. Commuting data from the Federal Employment Agency regarding all socially insured employees as of June 30, 2004, is used as commuting data.  </w:t>
        <w:br/>
        <w:t xml:space="preserve">(26) The gas stations of HPV under review are located in the BBR labor market regions of Berlin (gas stations Berlin Adlergestell, Berlin-Marzahn, Erkner, and Fredersdorf), Sangerhausen (gas station Eisleben), and Nordhausen (gas station Nordhausen). However, the delimitation of the Berlin labor market region by the BBR is not only based on commuting flows as described above but also follows structural political considerations. Therefore, in the opinion of the decision-making department, it is not suitable for accurately representing the spatial market of the four HPV gas stations in and around Berlin. It does not correspond to life experience that motorists from the western or northwestern urban area of Berlin (e.g., the districts of Spandau or Reinickendorf) would consider gas stations on the eastern or southeastern city outskirts (here in the districts of Treptow-Köpenick or Marzahn-Hellersdorf) or even east of the state border in Brandenburg (Fredersdorf-Vogelsdorf and Erkner) as sensible economic refueling alternatives to any significant extent. For similar reasons, the BBR labor market regions of Nordhausen and especially Sangerhausen also appear to be too large for delimiting regional gas station markets around the locations of Nordhausen and Lutherstadt Eisleben, as in the present case, it is not the commuting flows in general that are decisive, but specifically the refueling behavior of commuters, employees, and residents of the respective region (cf. Figure 1 in the appendix).  </w:t>
        <w:br/>
        <w:t xml:space="preserve">(27) According to life experience, excessively large catchment areas also arise when gas stations are alternatively assigned to the labor market regions according to Prof. Eckey, University of Kassel. While the labor market region of Berlin is significantly smaller according to Eckey, it is still too large in its extent to represent refueling behavior. Moreover, the target gas stations are located at the extreme eastern edge of the labor market region, so that this hardly overlaps with the actual catchment area of the respective target gas station. The labor market regions of Halle and Nordhausen, where according to Eckey the gas stations Eisleben and Nordhausen are located, also appear to be significantly too large for a realistic delimitation of the regional gas station markets (cf. Figure 2 in the appendix).  </w:t>
        <w:br/>
        <w:t>(28) Therefore, the decision-making department prefers the so-called accessibility model, which was also developed by the BBR for spatial planning purposes. With the help of this model, it can be determined which other gas stations can be reached within certain driving times from the respective target gas stations.</w:t>
      </w:r>
    </w:p>
    <w:p>
      <w:r>
        <w:rPr>
          <w:b/>
        </w:rPr>
        <w:t>[Pages 10–12]</w:t>
      </w:r>
    </w:p>
    <w:p>
      <w:r>
        <w:t xml:space="preserve">10  </w:t>
        <w:br/>
        <w:t xml:space="preserve">The basis is the actual conditions of the local road infrastructure. Starting from each gas station affected by the merger project, the decision-making department has had the BBR identify those gas stations that can be reached within a certain driving time. This allows for the representation of which other gas stations a driver can actually reach from each of the six gas stations affected by the merger within certain driving times in order to alternatively refuel there (see Figure 3 in the appendix).  </w:t>
        <w:br/>
        <w:t xml:space="preserve">(29) The present case has the peculiarity that it concerns gas stations in regions with low population and infrastructure density (Nordhausen, Eisleben) on the one hand, and gas stations in areas with very high population and infrastructure density (gas stations Berlin Adlergestell, Berlin-Marzahn, Erkner, Fredersdorf-Vogelsdorf) on the other hand. The decision-making department therefore considers a driving time of a maximum of 60 minutes to be reasonable, in favor of the merger participants, and accordingly delineates the two regions around the gas stations Nordhausen and Eisleben. In contrast, for the competitive assessment of the four gas stations in the urban environment of the eastern Berlin metropolitan area, a driving time of a maximum of 30 minutes appears appropriate. This already corresponds to a very broadly defined market area in this densely populated region.  </w:t>
        <w:br/>
        <w:t>(30) Nevertheless, the decision-making department – again in favor of the merger participants – has additionally assessed based on larger driving time distances as well as on the basis of the nationwide market delimitation advocated by Shell. However, both in the closest spatial consideration and in a broader view, an oligopoly of the leading integrated oil companies Shell, BP/Aral, Exxon, Total, and ConocoPhillips/Jet emerges, as will be detailed below. It should be noted in this context that the regional consideration according to driving times based on the BBR accessibility model also reflects spatial overlaps, provided that the gas stations considered lie within the accessibility area of other gas stations. This is particularly evident in the accessibility regions around the four gas stations in the Berlin area. However, double counting of gas stations is excluded. In this regard, it should be remembered that the regions do not represent spatially sharply defined, geographically exclusive market areas, but rather are the result of an approximation to the regional market conditions based on the actually existing alternatives for drivers.</w:t>
      </w:r>
    </w:p>
    <w:p>
      <w:r>
        <w:t xml:space="preserve">11  </w:t>
        <w:br/>
        <w:t xml:space="preserve">4. Effects of the Merger  </w:t>
        <w:br/>
        <w:t xml:space="preserve">(31) According to the findings of the decision-making department, Shell, in conjunction with other oil companies, holds a dominant position in the sale of gasoline and diesel fuel through road gas stations. However, the notified merger does not lead to an expectation of an enhancement of this joint dominant position (§ 36 Abs. 1, § 19 Abs. 2 and 3 GWB).  </w:t>
        <w:br/>
        <w:t xml:space="preserve">a) Dominant Position  </w:t>
        <w:br/>
        <w:t xml:space="preserve">(32) A dominant position of several companies exists according to § 19 Abs. 2 Sentence 2 GWB when, firstly, there is no significant competition among the oligopolists (internal competition), and secondly, the oligopolists hold a superior market position relative to competitors and are not exposed to significant competition.  </w:t>
        <w:br/>
        <w:t xml:space="preserve">(33) Joint dominance does not require that the members of the oligopoly collude by making anti-competitive agreements within the meaning of Art. 81 EC, § 1 GWB. Rather, a jointly dominant position in the sense of § 19 Abs. 2 and 3 GWB can also exist if the members of the oligopoly tacitly content themselves with their respective achieved market shares, without effective internal competition occurring among them and without external competition or the demand side being able to jeopardize the success of such restricted competitive behavior of the oligopolists. According to the economic considerations summarized in the decision "Airtours" by the Court of First Instance of the European Communities, the affected market must – firstly – be transparent enough for the oligopolists to sufficiently recognize whether their tacit coordination is being adhered to. Secondly, there must be a kind of deterrent mechanism against deviations from the common approach for reasons of discipline. Thirdly, the reactions of companies that do not participate in the coordination, such as current or potential competitors, or the reactions of customers must not call into question the expected effect of the coordination.  </w:t>
        <w:br/>
        <w:t xml:space="preserve">(34) The existing framework conditions in the oil industry favor oligopolistic tendencies. Integrated oil companies operate with homogeneous goods in transparent markets with shrinking overall demand. This results in relatively limited scope for the use of competitive parameters in the markets for fuel sales through gas stations. Consequently, the entrepreneurial success increasingly depends on whether and to what extent a company has competitive influence in the upstream procurement markets. The dominant companies are exclusively integrated oil companies that operate across all levels of the oil industry, and thus are active not only in retail but also in the procurement markets – both in wholesale and in production – as well as in the transport sector. In particular, structural characteristics can be found at these upstream market levels that strongly dampen both internal and external competition overall, and thus also affect the end consumer markets of interest here, by opening up a high potential for retaliation on the one hand and creating a superior market position for the dominant companies on the other hand.  </w:t>
        <w:br/>
        <w:t xml:space="preserve">aa) Internal Competition  </w:t>
        <w:br/>
        <w:t xml:space="preserve">aaa) Market Shares  </w:t>
        <w:br/>
        <w:t xml:space="preserve">(35) Fuel suppliers in Germany cannot increase their market shares by participating in a growing market, but only by attracting customers from competitors or through external growth. This is because domestic fuel sales through road gas stations are shrinking despite increasing vehicle registration numbers. In 2007, it amounted to approximately 35.6 million tons, which was about 1.8% lower than the previous year. By 2025, the oil industry expects a decline in fuel sales of 25%, and even 40% for gasoline. The declining demand is generally attributed to changing driving habits in connection with an overall increase in fuel price levels, as well as to technical innovations in the automotive industry and thus higher efficiency of combustion engines. However, factors such as so-called fuel tourism, where drivers deliberately take advantage of relatively lower fuel taxes by refueling their vehicles in neighboring countries, may also play a role near the borders. Domestically, approximately 20.5 million tons were accounted for gasoline sales (down 4.1% compared to 2006) and approximately 14.9 million tons for diesel fuel sales (up 1.6% compared to 2006).  </w:t>
        <w:br/>
        <w:t>(36) In the fuel trade through gas stations, leading suppliers in Germany include internationally operating corporate groups such as BP/Aral, Shell, Exxon/Esso, ConocoPhillips, Total, among others, which predominantly operate vertically across the stages of the value chain (extraction, transport, and refining of crude oil as well as distribution of</w:t>
      </w:r>
    </w:p>
    <w:p>
      <w:r>
        <w:rPr>
          <w:b/>
        </w:rPr>
        <w:t>[Pages 13–15]</w:t>
      </w:r>
    </w:p>
    <w:p>
      <w:r>
        <w:t>13</w:t>
        <w:br/>
        <w:t xml:space="preserve">derived petroleum products) are integrated. In addition, there are a number of smaller affiliated suppliers (Agip, OMV, Orlen, Q1, OiL! and others) as well as a multitude of small and very small companies that are only active at the trading level. In particular, many medium-sized operators of non-affiliated so-called "free" gas stations operate solely as fuel dealers in the street gas station business or in the adjacent market for heating oil trade. Some regionally larger medium-sized companies are united in the brand and purchasing community AVIA, while a number of independent companies use the common brand of the Federal Association of Free Gas Stations e.V. (bft).  </w:t>
        <w:br/>
        <w:t xml:space="preserve">(37) The number of gas stations of the respective suppliers is distributed based on the regional perspective as shown in Tables 1 and 3 in the appendix: Aral, Shell, ConocoPhillips, Esso, and Total account for an average of 57% of the gas station locations in the accessibility regions, in some areas even more than 65%. In the region of eastern Berlin, the five integrated oil companies account for an average of even 66% of all gas station locations.  </w:t>
        <w:br/>
        <w:t xml:space="preserve">(38) Nationwide, a clearer picture emerges than in the regional perspective, as detailed in Table 2 in the appendix: The five companies with the most gas stations are integrated oil companies across all market levels. They operate approximately 7,300 (50%) of the over 14,000 street gas stations, but together they achieve even 72.5% of fuel sales (see Table 4 in the appendix): Aral (23%), Shell (23%), ConocoPhillips (9.5%), Esso (8.5%), TOTAL (8.5%). Another 10% of fuel sales at street gas stations are accounted for by three integrated oil companies from abroad, namely the Italian Agip (4%), the Austrian OMV (3%), and the Polish Orlen (3%). While Agip has been active in the domestic market since the early 1960s, OMV and Orlen only became active in Germany after 2001 as part of gas station sales in accordance with the divestiture commitments in the major merger cases BP/E.ON (Aral) and Shell/DEA. All other gas station companies together achieve about 19% fuel sales share. Of this, a total of 9.5% is accounted for by approximately 1,600 free gas stations and 3.5% by the medium-sized companies of the AVIA purchasing community.  </w:t>
        <w:br/>
        <w:t>(39) Within the oligopoly group, significant – objectively measurable – mutual competitive initiatives are not to be recorded, as shown in Table 4. Nevertheless, the gas station business remains profitable in an overall shrinking sales market for the established oil companies at the retail level.</w:t>
      </w:r>
    </w:p>
    <w:p>
      <w:r>
        <w:t>14</w:t>
        <w:br/>
        <w:t xml:space="preserve">With regard to the consistently high nationwide market share of the oligopoly members in fuel sales through gas stations of collectively over 70%, it should be remembered that high market shares—especially when they remain unchallenged over several years as in this case—constitute a particularly significant and meaningful indication under antitrust law of behavioral leeway that is no longer sufficiently controlled by competition. This is because the unchallenged existence of a high market share over years suggests that other potentially opposing factors are not of significant importance.  </w:t>
        <w:br/>
        <w:t xml:space="preserve">bbb) Transparency  </w:t>
        <w:br/>
        <w:t xml:space="preserve">(40) The market for fuel sales through gas stations is not only highly concentrated on the supply side, but it is also considered very transparent. Due to the concentration, this transparency primarily benefits the integrated oil suppliers.  </w:t>
        <w:br/>
        <w:t>(41) According to § 8 of the Price Indication Regulation, fuel prices at street gas stations must be displayed in such a way that they are clearly legible for the approaching driver. However, transparency in the gas station fuel markets is highly asymmetric, even though the display at the so-called monoliths allows both drivers and competitors to learn about the currently demanded and factually non-negotiable prices of the respective gas station. For the individual driver, this only provides a first insight, not an overview of the prices of other gas station alternatives that are timely and economically sensible to reach. For this, the driver would typically have to incur significant search costs; whether in the form of time and fuel costs by driving to the relevant gas stations or through internet research. Price indications on the internet, however, do not claim to be current or comprehensive and cannot be automated or evaluated by navigation systems. Some oil companies and others (e.g., automobile clubs) do post gas station prices on the internet, but they prevent automated retrieval by drivers or third parties. In contrast, the large suppliers maintain a constantly updated overview of the price indications of competitors. According to the integrated oil companies, their gas station personnel collect this data multiple times a day and maintain it decentrally in data processing systems. The electronic aggregation and utilization of this data provides the companies with informational advantages, which are supplemented by the use of additional sources (industry information systems, production data, price indications regarding wholesale activities).</w:t>
      </w:r>
    </w:p>
    <w:p>
      <w:r>
        <w:t>15</w:t>
        <w:br/>
        <w:t xml:space="preserve">ccc) Competitive Parameters  </w:t>
        <w:br/>
        <w:t xml:space="preserve">(42) The surveyed integrated gas station companies attribute an important to very important competitive role to price in the gas station business. The companies justify this with a high price sensitivity of consumers. Another important criterion, sometimes considered primary, is the location. This is of great significance for the business potential of a gas station. Furthermore, the suppliers attempt to bind drivers to themselves through special programs. These include in particular discount and bonus promotions as well as customer cards. In contrast, product innovation (premium products) and brand competition (e.g., gas station equipment) are considered by the gas station companies to play a subordinate role compared to price. This has been confirmed by market investigations. Thus, the competitive effects of product innovation in fuels are to be assessed as low. On the one hand, investigations have shown that premium products of an oil company were quickly imitated by other oil companies. On the other hand, the sales of premium products are negligible compared to total fuel sales and are disproportionate to the role that the suppliers' marketing suggests.  </w:t>
        <w:br/>
        <w:t>(43) According to the surveyed oil companies, demand reacts strongly to price movements. The example of "Price Judge Oldenburg" is mentioned. Here, at the end of 2005 / beginning of 2006, the construction of a JET gas station in Oldenburg was initially accompanied by noticeable price reductions from local suppliers. Another example occurred in December 2007. Drivers in the Rhineland took the price adjustment for regular and super fuel, which was advertised as a price reduction for super gasoline by Aral – according to press reports – as an occasion to preferentially visit the Aral gas stations beyond their usual capacities. This reportedly led to temporary supply shortages at the affected gas stations. However, it should also be noted that such local events do not trigger lasting price competition but represent only temporary occurrences. This price sensitivity is known to all suppliers, and consumer behavior is therefore somewhat predictable. In this context, it is noteworthy that the oil companies do not advertise their fuels with prices, even though they themselves describe price as an important competitive parameter. Rather, marketing has traditionally focused largely on alleged or actual quality features. Only ConocoPhillips has recently also explicitly advertised that it sells fuels at its Jet gas stations regularly cheaper than other brand companies. Given the comparatively high</w:t>
      </w:r>
    </w:p>
    <w:p>
      <w:r>
        <w:rPr>
          <w:b/>
        </w:rPr>
        <w:t>[Pages 16–18]</w:t>
      </w:r>
    </w:p>
    <w:p>
      <w:r>
        <w:t xml:space="preserve">16  </w:t>
        <w:br/>
        <w:t xml:space="preserve">tax and duty rate on fuels (which are merely pass-through items for the providers) means that ConocoPhillips' strategy of selling at a gross price of 1 euro cent per liter cheaper is merely undercutting the net prices by fractions of a euro cent per liter. The savings per tank fill-up are therefore very small for the individual driver, with a gross saving of under 1%. The same applies to similar price reductions cited by Shell as evidence of extremely fierce price competition in the gas station business, which are also significantly outnumbered by the number of price increases throughout the year. This is not evidence of vigorous price competition, but rather an expression of a fundamentally uniform pricing behavior—at least—of the oligopoly providers. The decision-making department also does not share the view that retail fuel sales are determined by international crude oil and product markets. Wholesale quotations for crude oil and products on the spot markets, e.g., in Rotterdam, do not mean that there are no longer any price competition leeways at the retail level. This would require a complete identity of costs and margins among the providers operating at the retail level, which Shell itself does not claim.  </w:t>
        <w:br/>
        <w:t xml:space="preserve">ddd) Interconnections  </w:t>
        <w:br/>
        <w:t xml:space="preserve">(44) The leading oil companies are partially connected through joint refineries, joint pipelines, and joint tank storage facilities. Third parties have no access to the jointly held production and pipeline capacities.  </w:t>
        <w:br/>
        <w:t xml:space="preserve">(1) Refineries  </w:t>
        <w:br/>
        <w:t xml:space="preserve">(45) Each of the leading oil companies offers its fuels nationwide but does not have its own crude oil processing capacities in every major region. Currently, 14 refineries process crude oil in Germany. A quarter of the capacities are located in the north and west of the country, 31% in the south, and 19% in East Germany. According to the results of the investigations, no capacity increase or decrease is expected during the forecast period, so the amount of available fuels is unlikely to change significantly despite the expected further decline in domestic demand. The providers operating in the refinery business see their competitors in Germany, in the ARA region (ports of Amsterdam-Rotterdam-Antwerp), and in the closely adjacent European foreign markets.  </w:t>
        <w:br/>
        <w:t xml:space="preserve">(46) The domestic production capacities are largely owned by integrated oil companies. For example, Shell operates the refineries in Heide/Holstein and Hamburg in northern Germany, as well as the Rheinland refineries in Godorf and Wesseling in western Germany, and has a total capacity of around 10.5% of the total domestic production. In northern Germany, BP, Conoco, and Holborn each operate a refinery, while Petroplus and OMV are active in the west and Total in the east of Germany in the refinery business. Independent refiners, importers, and wholesalers are either not active nationwide or not active at all levels of the fuel economy. In any case, their activities do not result in changes in market shares at the retail level. There, the share of the oligopolists, as shown, remains consistently high at over 70% market share.  </w:t>
        <w:br/>
        <w:t xml:space="preserve">(47) However, the oligopoly members not only hold a large portion of the production capacities, but they are also significantly involved in four joint refineries, as detailed in Table 5 in the appendix.  </w:t>
        <w:br/>
        <w:t xml:space="preserve">(48) In southwestern Germany, this is the MiRO Mineralölraffinerie Oberrhein GmbH &amp; Co. KG in Karlsruhe, whose shares are held by Shell Deutschland Oil GmbH (32.25%), Esso Deutschland GmbH (25%), Ruhr Oel GmbH—a joint venture of BP with the state-owned Venezuelan oil company Petróleos de Venezuela S.A.—(24%), and ConocoPhillips Continental Holding GmbH (18.75%). MiRO is Germany's largest refinery with a processing capacity of 14.9 million tons in 2006.  </w:t>
        <w:br/>
        <w:t xml:space="preserve">(49) The second joint venture is the Bayernoil Raffineriegesellschaft mbH in Vohburg/Ingolstadt, in which OMV (since 2003) holds 45%, Agip Deutschland GmbH holds 20%, Ruhr Oel GmbH (BP/Venezuela) holds 25%, and Deutsche BP AG holds 10% directly. Bayernoil comprises three refinery facilities connected by pipelines in the Bavarian cities of Ingolstadt, Vohburg, and Neustadt.  </w:t>
        <w:br/>
        <w:t xml:space="preserve">(50) The third joint refinery is the PCK Raffinerie GmbH Schwedt at the German-Polish border, in which Shell Deutschland Oil GmbH holds 37.50%, Ruhr Oel GmbH (BP/Venezuela) holds 37.50%, and AET Raffineriebeteiligungsges. mbH—a joint venture of Agip and Total—holds 25%. Finally, Ruhr Oel GmbH in Gelsenkirchen is jointly operated by BP Refining and Petrochemicals GmbH and Petróleos de Venezuela S.A.  </w:t>
        <w:br/>
        <w:t xml:space="preserve">(51) The joint refineries operate as so-called toll processors for their owners. The parent companies make all business decisions and merely entrust the operating companies with their implementation. The parents procure the crude oil to be processed, which they deliver to the facilities in proportion to their corporate shareholding. Both the crude oil and the refinery products obtained remain proportionally owned by the shareholders. Thus, the capacities and production of the joint refineries are directly (proportionally) attributable to the parent companies.  </w:t>
        <w:br/>
        <w:t xml:space="preserve">(2) Tank Storage  </w:t>
        <w:br/>
        <w:t xml:space="preserve">(52) The refinery locations are complemented by a nationwide network of tank storage facilities, which are supplied by the refineries via ship, tank cars, or in a few cases through product pipelines.  </w:t>
        <w:br/>
        <w:t xml:space="preserve">(53) In Germany, there are 279 tank storage facilities with a total capacity of approximately 68 million cubic meters. An estimated 95% of the storage capacities are currently utilized. Just over 50% of the capacities are occupied by the state oil reserves. The remaining 50% of the capacities are used for light heating oil to the extent of 10 to 15%, so that the capacities available for fuel storage are significantly lower than the total capacity. Operators of tank storage facilities include both integrated oil companies that produce fuel themselves and independent commercial storage operators who act as service providers for all oil companies and independent fuel traders. The integrated oil companies thus own their own storage capacities, some of which are also operated as joint ventures, while also renting additional capacities from independent storage operators.  </w:t>
        <w:br/>
        <w:t xml:space="preserve">(54) Although it can be noted in the area of tank storage that integrated oil companies have partially freed themselves from corporate ties in the form of joint tank storage companies, these deconcentration tendencies do not worsen the access of integrated oil companies to storage capacities according to the results of the investigations. This is due to the so-called joint storage of several traders or oil companies in rented tank storage facilities, whose entire capacity they may occupy together. This is possible due to the homogeneity of the stored products. The specific characteristics of the fuels from the respective manufacturers are only obtained upon delivery through the addition of additives from the refinery or tank storage.  </w:t>
        <w:br/>
        <w:t>(55) Compared to joint storage, individual storage is more expensive and less efficient. Ultimately, it is not the nominal capacity but the throughput—that is, the question of how often a storage facility can be refilled and emptied within a certain period—that is crucial for its economic viability. This is the case with joint storage.</w:t>
      </w:r>
    </w:p>
    <w:p>
      <w:r>
        <w:rPr>
          <w:b/>
        </w:rPr>
        <w:t>[Pages 19–21]</w:t>
      </w:r>
    </w:p>
    <w:p>
      <w:r>
        <w:t xml:space="preserve">19  </w:t>
        <w:br/>
        <w:t xml:space="preserve">that communal storage generally has a higher throughput than the storage of fuels solely by a dealer.  </w:t>
        <w:br/>
        <w:t xml:space="preserve">(56) If a new market participant attempts to enter communal storage, they would need to reach an agreement with the communal storers for these reasons, not with the operator of the tank storage facility. Although the use of communal tank storage generally occurs on the basis of annual contracts, these automatically extend in the absence of termination, which complicates access to communal storage.  </w:t>
        <w:br/>
        <w:t xml:space="preserve">(3) Pipelines  </w:t>
        <w:br/>
        <w:t xml:space="preserve">(57) Corporate legal entanglements also exist in the transportation of crude oil and fuels via pipelines. Due to the multitude of suppliers, Germany is supplied through various supply routes. Russian crude oil reaches Germany via the "Druzhba" pipeline and sea tankers. All other deliveries are transported by sea, not only to German but also to logistically favorable European ports, and then directed via pipeline to the refineries. Finished petroleum products are transported through so-called product pipelines, occasionally also through crude oil pipelines.  </w:t>
        <w:br/>
        <w:t xml:space="preserve">(58) In total, the German pipeline network has a length of 5,372 kilometers, of which 2,041 kilometers are for crude oil and 3,331 kilometers for product transports. The most important crude oil pipelines for Germany are jointly operated by the integrated oil companies, as shown in Table 6 in the appendix.  </w:t>
        <w:br/>
        <w:t xml:space="preserve">(59) For southern Germany, these include the TAL, which runs from the Italian Mediterranean port of Trieste to Ingolstadt and Karlsruhe, and the SPSE, which also leads from Lavéra in France to Karlsruhe. The supply of the West German refineries is provided by the RRP, which runs from Rotterdam to Venlo and from Venlo to the refineries in Cologne. Additionally, the NWO leads to Cologne, through which the North Sea crude oil landed at the most important German port of Wilhelmshaven is transported. The refineries in northern Germany are also connected to the NDO pipeline, which directs crude oil from the coast to the refineries in Hamburg. The East German refinery locations are supplied via the Russian oil-leading "Druzhba" pipeline, to which the MVL pipeline connects to the refinery in Spergau.  </w:t>
        <w:br/>
        <w:t xml:space="preserve">(60) In addition to the crude oil pipelines, the product pipelines are also solely owned by the large oil companies, which use them exclusively. Notable here are primarily the RRP and RMR from Rotterdam via Cologne to Ludwigshafen. The civil use of the military pipeline networks CEPS and NEPS has no practical significance for the gasoline and diesel fuels sold through gas stations.  </w:t>
        <w:br/>
        <w:t xml:space="preserve">(61) The opinion of Shell that the participation rights in pipelines for the integrated oil companies are purely financial interests is not shared by the decision-making department. It should be noted that the corporate and contractual entanglements in production, storage, and logistics provide the affected companies with informational and competitive advantages that further increase the already high supplier-side market transparency and open credible means for competitive retaliatory measures within the oligopoly, for example, by questioning or even disrupting the previously smooth cooperation on the logistics side. According to Shell, no oil company can afford this.  </w:t>
        <w:br/>
        <w:t xml:space="preserve">eee) Mutual Dependence  </w:t>
        <w:br/>
        <w:t xml:space="preserve">(62) The integrated gas station companies have long practiced a system of fuel exchange. These are reciprocal (framework) purchase agreements for the regional "exchange" of fuels from the refinery or storage. Legally, these are bilateral wholesale agreements for the reciprocal purchase and sale of fuels to avoid long-distance fuel transports. The relevant contracts are concluded for the duration of a calendar year and renegotiated at the end of each year. This also affects the fuels jointly stored by the exchange partners. Even if only one gas station company has a contract with the respective storage operator, this operator also delivers to its exchange partner on the instruction of its contractual partner and maintains their additives.  </w:t>
        <w:br/>
        <w:t xml:space="preserve">(63) The decision-making department attributes market-structural significance to the system of exchange contracts for fuel trading. The surveyed gas station companies indicated that they make significant to very substantial use of the exchange contracts. In the case of Shell, exchange quantities account for between 10 and 20% of diesel fuel sales and between 15 and 25% of gasoline sales. For one oligopoly member, the share was recently 100% and is still two-thirds now. On the one hand, the system facilitates the comprehensive presence of the leading suppliers; on the other hand, it further increases the already high supplier-side market transparency and also leads to the oil companies entering into a mutual regional dependence on the procurement side.  </w:t>
        <w:br/>
        <w:t xml:space="preserve">(64) The contractual network of exchange relationships thus also represents a credible sanction mechanism against deviations in the internal relationship of the oligopoly providers. Given the annual basis of contracted exchanges, only a limited quantity is available for regional competitive initiatives. Furthermore, the previously smooth cooperation in the mutual supply of fuels could be questioned or disrupted. Possible scenarios could include quantitative restrictions or pricing that do not rely on quotations from international fuel wholesale markets as has been customary until now. That Shell considers such an approach unthinkable does not negate its suitability for retaliatory measures.  </w:t>
        <w:br/>
        <w:t xml:space="preserve">bb) External Competition  </w:t>
        <w:br/>
        <w:t xml:space="preserve">(65) According to the assessment of the decision-making department, the oligopolists jointly hold a dominant market position and are not exposed to significant competition. They are thus able to act in a considerable manner on the German gas station fuel markets independently of their competitors, their customers, and the consumers in the same way.  </w:t>
        <w:br/>
        <w:t xml:space="preserve">aaa) Fragmentation of Competition  </w:t>
        <w:br/>
        <w:t>(66) The market shares of other providers during the period from 2004 to 2007 are in the low, but predominantly in the very low single digits. It should be noted that the offerings of the members of the Federal Association of Independent Gas Stations e.V., which uniformly operate under the "bft" brand, as well as the medium-sized brand and purchasing associations AVIA and UNITI, account for a multitude of gas station providers that operate only locally or regionally and represent only aggregate values in the sales statistics, behind which there is no uniform entrepreneurial appearance in the case of independent gas stations. The independent gas station operators are largely dependent on advance supplies from the integrated oil companies. Only along the Rhine corridor are comparatively low transport cost fuel imports possible via inland shipping from the so-called ARA region (seaports of Amsterdam-Rotterdam-Antwerp), making the procurement from independent importers economically viable. Therefore, it is not to be expected,</w:t>
      </w:r>
    </w:p>
    <w:p>
      <w:r>
        <w:rPr>
          <w:b/>
        </w:rPr>
        <w:t>[Pages 22–24]</w:t>
      </w:r>
    </w:p>
    <w:p>
      <w:r>
        <w:t xml:space="preserve">22  </w:t>
        <w:br/>
        <w:t xml:space="preserve">that this highly fragmented group of external competitors is individually or collectively capable of effectively limiting the behavioral scope of the oligopoly providers. This assessment is further supported by the fact that among the providers with small or negligible market shares are subsidiaries of internationally operating oil companies, which possess significant expertise and high market shares in the gas station business in their home markets, such as Agip, belonging to the Italian ENI group, the Austrian OMV, or the Polish PKN Orlen. The latter two companies have only been active since around 2003 as part of the implementation of commitments in the merger control proceedings "Shell/DEA" and "BP/Aral," focusing on regional market entries through gas station acquisitions in North and East Germany (PKN Orlen) or in Southern Germany (OMV). The Polish ORLEN acquired around 500, and the Austrian OMV around 280 gas stations each from BP/Veba Oel. Thus, it is also not easy for quite capable providers in the German gas station markets to reduce market share advantages of already established companies significantly or at least to a considerable extent.  </w:t>
        <w:br/>
        <w:t xml:space="preserve">bbb) Market Entry Barrier Regulation  </w:t>
        <w:br/>
        <w:t xml:space="preserve">(67) The integrated oil companies are more independent of foreign procurement markets due to their own production capacities than non-integrated, independent traders who import fuels. For independent providers, not only are transport and storage of their products more difficult, as they generally have lower own storage and transport capabilities. Furthermore, they must ensure that the imported fuels meet German quality requirements or standards. In particular, in connection with the Biofuel Quota Act that came into force on January 1, 2007, competitive disadvantages arise for independent external competitors, especially regarding the storage and transport of fuels, which enable integrated oil companies to expand their sales channel through gas stations. In this respect, the specific effects of regulation are crucial for competitive assessment. Although all fuel providers are fundamentally subject to it, it only affects those market participants who cannot resort to in-house production.  </w:t>
        <w:br/>
        <w:t xml:space="preserve">(68) With the Biofuel Quota Act, an obligation to blend bio-components into mineral fuels has been introduced. The blending obligation leads to quality and homogeneity problems compared to purely mineral fuels. Not only is the product shelf life affected, which, according to industry information, has decreased in the case of diesel fuel from about three years to three to four months. More crucial for competitive assessment is that already blended products are apparently not currently transported by integrated oil companies for quality assurance reasons. This fundamentally restricts the possibilities of medium-sized traders to source from oligopoly outsiders—at least temporarily.  </w:t>
        <w:br/>
        <w:t xml:space="preserve">(69) Independent importers or traders often transport their products by inland waterway, as they do not have pipelines. Additionally, non-integrated market participants currently do not receive ready-mixed products if they can only be supplied by inland waterway. Furthermore, such tank storage operators and non-integrated market participants, who can only be supplied by waterway, are now forced to store raw gasoline and mix the additives on-site with the help of a special precursor product BOB (Blendstock for Oxygenate Blending) due to the lack of water transport of blended products. Alternatively, they could procure by rail, which, however, comes with a cost disadvantage. Consequently, those market participants who do not own a refinery depend on those who can provide BOB.  </w:t>
        <w:br/>
        <w:t xml:space="preserve">(70) According to the information available here, this elevation of the storage business may only be a temporary phenomenon, which is likely to last until the parties wish to transport bio-blending again by ship. This could be the case in about 2 to 3 years due to the higher blending quotas. However, this time frame may already be sufficient to sustainably change market structures to the detriment of independent traders and importers. If the import becomes more expensive because the imported goods must be brought up to German standards, independent traders may be forced in the long term to source from integrated refiners. This would mean that the sales channel of the integrated companies would expand through gas stations in retail. Even the independent gas stations, which traditionally source from independent importers, would then rely on supply from integrated oil companies.  </w:t>
        <w:br/>
        <w:t xml:space="preserve">ccc) No Effective Demand Power  </w:t>
        <w:br/>
        <w:t xml:space="preserve">(71) The behavioral leeway opened up to the oligopoly providers in the gas station business is not effectively limited by market counter-power on the buyer side. The existence of strong market demand would require, on the one hand, the presence of market-strong buyers and, on the other hand, that these distribute their orders strategically among several providers to avoid dependence on a group of (dominant) providers (cf. BGH WuW/E 1749, 1752 – Klöckner-Becorit). The structurally fragmented demand from motorists in the gas station fuel markets evidently does not meet these structural prerequisites.  </w:t>
        <w:br/>
        <w:t xml:space="preserve">cc) Legal Presumption of Market Dominance  </w:t>
        <w:br/>
        <w:t xml:space="preserve">(72) A group of companies is considered to be dominant in the market if it consists of five or fewer companies that together achieve a market share of two-thirds. However, the law allows companies to prove that the competitive conditions among them suggest significant competition or that the group of companies does not have a superior market position compared to other competitors (§ 19 Abs. 3 Nr. 2 GWB). While the legal presumption of market dominance applies, the statements of the oligopoly members surveyed regarding the competitive conditions in fuel trading (BP/Aral, Shell, Esso, Total, and Conoco/Jet) are not suitable to refute this presumption, according to the assessment of the decision-making department. Rather, a whole range of other market structural aspects—as detailed above—support the legal presumption.  </w:t>
        <w:br/>
        <w:t>(73) For the regions around the gas stations in the Berlin area, it is already secured based on the shares at the gas station stations that the shares in fuel sales of the oligopoly members Shell, BP/Aral, Esso, Total, and ConocoPhillips/Jet exceed the legal presumption of § 19 Abs. 3 Nr. 2 GWB (partly significantly). There, the oligopolists already have significantly higher shares of the total number of gas stations in the affected area than the nationwide average of around 50%. Thus, BP/Aral, Shell, Esso, Total, and Conoco/Jet jointly account for the following gas station shares within a distance of up to 30 driving minutes from each respective gas station: Berlin-Adlergestell (65.1%), Berlin-Marzahn (67.7%), Erkner (64.9%), and Fredersdorf-Vogelsdorf (64.4%) (cf. again Table 1 in the appendix). In the case of distances of up to 60 driving minutes from the target gas station, which the decision-making department considers too far in the densely populated Berlin area, the situation is comparable: Berlin-Adlergestell (61.4%), Berlin-Marzahn (61.8%), Erkner (61.6%), and Fredersdorf-Vogelsdorf (61.6%) (cf. Table 3 in the appendix). Since the oligopolists recorded significantly higher fuel sales per gas station in 2008 than particularly the small providers—72.5% market share in fuel sales over only 50% of the total gas stations—the oligopoly presumption is fulfilled at least in the regional market in the eastern Berlin area. With regard to the regions</w:t>
      </w:r>
    </w:p>
    <w:p>
      <w:r>
        <w:rPr>
          <w:b/>
        </w:rPr>
        <w:t>[Pages 25–27]</w:t>
      </w:r>
    </w:p>
    <w:p>
      <w:r>
        <w:t xml:space="preserve">25  </w:t>
        <w:br/>
        <w:t xml:space="preserve">around the gas stations in Nordhausen and Eisleben, the above-average sales strength of the leading gas station companies per station must also be taken into account. However, here the regionally above-average presence of both independent gas stations and Orlen must be noted. Even if the oligopoly presumption of § 19 Abs. 3 Nr. 2 GWB may not apply in all regions, the other market structural factors explained above come into play. Investigations have not provided any indication that the multitude of regionally present independent gas stations could effectively limit the behavioral scope of the integrated oil companies. Nor does Orlen pose significant external competition. Rather, the regional Orlen network essentially reflects the status of the implementation of the sales commitments related to the BP/Aral merger, without Orlen having been able to take market shares from the oligopolists in competition since then.  </w:t>
        <w:br/>
        <w:t xml:space="preserve">(74) Nationwide, the development of market shares in the gas station business from 2004 to 2007, however, shows that Shell, together with BP/Aral, Esso, Total, and ConocoPhillips/Jet, significantly exceeds the market dominance presumption of § 19 Abs. 3 Nr. 2 GWB with 72.5% over the entire period (see again Table 3 in the appendix). For the antitrust assessment of market shares, it is significant that these sales shares have hardly changed over time, both in their total and in their ratio to each other; thus, there are no significant changes in market shares either in the internal relationship of the oligopolists or in their entirety. Since market shares regularly objectively reflect developments in actual competitive conditions, the constant and significant change in market shares presumed by Shell in the proceedings is not substantiated. The period under consideration from 2004 to 2007 is significant for assessing the actual market conditions, as the implementation of the major mergers BP/Aral and Shell/DEA, as well as the associated divestiture commitments that significantly changed the market share structure, was only completed in 2003. The static nature of the high joint market shares since then demonstrates that the members of the oligopoly have essentially been satisfied with their respective market shares, without effective internal competition arising among them and without the partly fragmented external competition or the highly fragmented demand side being able to jeopardize the success of the thus restricted competitive behavior of the oligopolists.  </w:t>
        <w:br/>
        <w:t xml:space="preserve">dd) Interim Result  </w:t>
        <w:br/>
        <w:t xml:space="preserve">(75) The integrated oil companies Shell, Aral/BP, ConocoPhillips/Jet, ExxonMobil/Esso, and Total hold a dominant market position in the market for the distribution of gasoline and diesel fuel through gas stations according to § 19 Abs. 2 Satz 2 GWB. This is partly due to the lack of internal competition among the oligopolists, which is attributed to high market shares, asymmetric market transparency, price-conscious consumer behavior, interconnections in production, transport, and storage, as well as mutual dependence through exchange contracts, which opens up a high potential for retaliation. On the other hand, external competition is also severely restricted due to market entry barriers for competitors and low buyer power. As a consequence, the oligopolists occupy a superior market position and are not exposed to significant competition. This is also reflected in the fact that the jointly dominant companies significantly exceed the legal presumption of § 19 Abs. 3 Nr. 2 GWB both in regional consideration and in nationwide market delimitation.  </w:t>
        <w:br/>
        <w:t xml:space="preserve">b) No Strengthening of the Non-Competitive Oligopoly through the Merger  </w:t>
        <w:br/>
        <w:t xml:space="preserve">(76) However, it is not expected that the proposed merger will lead to a prohibitable deterioration of competitive conditions in the fuel markets.  </w:t>
        <w:br/>
        <w:t xml:space="preserve">(77) Although nominally small increases in market shares can also justify a prohibition, there is no unwritten criterion for prohibition in German merger control that requires the expected deterioration from the project to be significant in the sense of § 1 GWB. Thus, the strengthening of a dominant position can already lie in the enhancement of the ability to fend off subsequent competition and to reduce the competitive pressure expected from current and potential competitors in order to maintain and secure the already achieved market position (established case law, see recently BGH, WuW/E DE-R 1681 ff. – DB Regio/üstra, para. 49 with further references).  </w:t>
        <w:br/>
        <w:t xml:space="preserve">(78) Here, however, according to the assessment of the decision-making department, neither in the nationwide perspective represented by Shell nor in the regionally appropriate consideration of the areas of Berlin/Brandenburg or Eisleben and Nordhausen is it expected that the intended acquisition of the six affected roadside gas stations by Shell would causally lead to a strengthening of the non-competitive oligopoly in the fuel markets in the gas station business. Although the cumulative market shares of the oligopoly amount to 72.5% in nationwide consideration, the gas stations affected by the merger have sold a total of only about 34.6 million liters of fuel, resulting in an increase in the oligopoly group's market share of only 0.07% based on a domestic fuel sales volume of approximately 35.6 million tons in 2007.  </w:t>
        <w:br/>
        <w:t xml:space="preserve">(79) In regional consideration, and thus in relation to significantly smaller reference areas, only marginal market share increases of between 0.4% and 0.7% (with travel times of up to 30 minutes) or even lower (with travel times of up to 60 minutes) are also observed in the eastern Berlin metropolitan area. The same applies in the two other regions with values of 0.5% in Nordhausen and 0.4% in Eisleben (with travel times of up to 60 minutes). The mentioned increases are significantly below the magnitudes that have previously raised the question in case law of whether a market share increase is still prohibitable or not. In the past, market share increases of 4% were considered a strengthening of a dominant position when the acquirer already had a high market share and a high concentration level in the industry (see BGH WuW/E BGH 1655, 1659 – Cement Grinding Plant II), and a gained market share of 1% was regarded as a strengthening of a dominant position when there was a significant market share gap to competitors (see BGH WuW/E BGH 2731, 2736 – Domestic Subsidiary). In another case, a market share increase of 3.7% was not assessed as a strengthening of a dominant position (see BKartA WuW/DE-V 201, 203 – Wire Rod).  </w:t>
        <w:br/>
        <w:t xml:space="preserve">(80) Regardless of this, it follows – at least according to the current knowledge of the decision-making department in the present case – that a strengthening effect in the sense of § 36 Abs. 1 GWB does not arise even from the perspective of a potential strategy of Shell or the other oligopoly members to increase the degree of vertical integration through the acquisition of smaller stations and to shield the sales markets from competitors. If such a strategy were identifiable, market foreclosure effects would have to be countered with merger control even in the case of smaller changes, even if these appear only minor when considered in isolation.  </w:t>
        <w:br/>
        <w:t>(81) The investigations have not provided any indications that the market structural impacts of the acquisitions are higher than the very low market shares of the affected gas stations suggest, both nationwide and regionally. Overall, according to the assessment of the decision-making department, it is currently particularly not ascertainable that the integrated gas station companies – similar to the leading electricity and natural gas suppliers in the municipal utility sector – external</w:t>
      </w:r>
    </w:p>
    <w:p>
      <w:r>
        <w:rPr>
          <w:b/>
        </w:rPr>
        <w:t>[Pages 28–30]</w:t>
      </w:r>
    </w:p>
    <w:p>
      <w:r>
        <w:t xml:space="preserve">28  </w:t>
        <w:br/>
        <w:t xml:space="preserve">growth through the acquisition of gas stations as a strategic instrument to close markets to competitors. Although there are indications that integrated gas station companies are increasing their fuel sales at the expense of the group of independent suppliers, the means for this does not appear to be external growth through acquisitions of gas stations, but rather the conclusion of exclusive supply contracts between individual gas station companies and medium-sized enterprises that previously procured fuels wholesale from various suppliers. The market-closing effect of the increase in these so-called brand partner contracts has been pointed out during the investigations by alternative suppliers. However, they are not the subject of the notified merger project and must, if necessary, be examined in a separate proceeding for their compatibility with antitrust law.  </w:t>
        <w:br/>
        <w:t xml:space="preserve">B. FEES  </w:t>
        <w:br/>
        <w:t xml:space="preserve">(86) [...]  </w:t>
        <w:br/>
        <w:t xml:space="preserve">C. MERGER NOTIFICATION  </w:t>
        <w:br/>
        <w:t xml:space="preserve">It is hereby noted that the notification of the merger project does not affect the obligation under § 39 Abs. 6 GWB to promptly notify the implementation of the merger. The costs for the necessary publication of this decision in the Federal Gazette (§ 43 No. 2 GWB) will be charged separately (§ 80 Abs. 1 S. 3 GWB).  </w:t>
        <w:br/>
        <w:t xml:space="preserve">D. APPEAL INSTRUCTIONS  </w:t>
        <w:br/>
        <w:t xml:space="preserve">[...]  </w:t>
        <w:br/>
        <w:t>Dr. Carsten B e c k e r Sandro G l e a v e Markus S c h n e i d e r</w:t>
      </w:r>
    </w:p>
    <w:p>
      <w:r>
        <w:t>29</w:t>
      </w:r>
    </w:p>
    <w:p>
      <w:r>
        <w:t xml:space="preserve">Appendix  </w:t>
        <w:br/>
        <w:t xml:space="preserve">Figure 1: Gas station locations in the labor market regions of Berlin, Sangershausen, and Nordhausen (according to BBR)  </w:t>
        <w:br/>
        <w:t>I</w:t>
      </w:r>
    </w:p>
    <w:p>
      <w:r>
        <w:rPr>
          <w:b/>
        </w:rPr>
        <w:t>[Pages 31–33]</w:t>
      </w:r>
    </w:p>
    <w:p>
      <w:r>
        <w:t xml:space="preserve">Figure 2: Gas station locations in the labor market regions of Berlin, Halle, and Nordhausen (according to Eckey2007)  </w:t>
        <w:br/>
        <w:t>II</w:t>
      </w:r>
    </w:p>
    <w:p>
      <w:r>
        <w:t xml:space="preserve">Figure 3: Gas station locations in the regional markets according to the accessibility model (BBR)  </w:t>
        <w:br/>
        <w:t>III</w:t>
      </w:r>
    </w:p>
    <w:p>
      <w:r>
        <w:t xml:space="preserve">Table 1: Gas station locations in the regional markets in the eastern Berlin area according to the accessibility model (30 minutes travel time)  </w:t>
        <w:br/>
        <w:t xml:space="preserve">Berlin Adlergestell Berlin-Marzahn Erkner Fredersdorf  </w:t>
        <w:br/>
        <w:t xml:space="preserve">absolute in % absolute in % absolute in % absolute in %  </w:t>
        <w:br/>
        <w:t xml:space="preserve">Aral 56 23.8 50 24.9 28 24.6 34 23.3  </w:t>
        <w:br/>
        <w:t xml:space="preserve">Shell 42 17.9 38 18.9 21 18.4 20 13.7  </w:t>
        <w:br/>
        <w:t xml:space="preserve">Conoco 11 4.7 7 3.5 7 6.1 11 7.5  </w:t>
        <w:br/>
        <w:t xml:space="preserve">Bft 43 18.3 33 16.4 15 13.2 20 13.7  </w:t>
        <w:br/>
        <w:t xml:space="preserve">Esso 18 7.7 13 6.5 2 1.8 5 3.4  </w:t>
        <w:br/>
        <w:t xml:space="preserve">Total 26 11.1 28 13.9 16 14.0 24 16.4  </w:t>
        <w:br/>
        <w:t xml:space="preserve">Agip 4 1.7 5 2.5 6 5.3 4 2.7  </w:t>
        <w:br/>
        <w:t xml:space="preserve">Avia 0 0.0 0 0.0 0 0.0 0 0.0  </w:t>
        <w:br/>
        <w:t xml:space="preserve">OMV 0 0.0 0 0.0 0 0.0 0 0.0  </w:t>
        <w:br/>
        <w:t xml:space="preserve">Orlen 10 4.3 5 2.5 2 1.8 8 5.5  </w:t>
        <w:br/>
        <w:t xml:space="preserve">Others 25 10.6 22 10.9 17 14.9 20 13.7  </w:t>
        <w:br/>
        <w:t xml:space="preserve">Total 235 100 201 100 114 100 146 100  </w:t>
        <w:br/>
        <w:t xml:space="preserve">Total  </w:t>
        <w:br/>
        <w:t>Oligopoly 153 65.1 136 67.7 74 64.9 94 64.4</w:t>
      </w:r>
    </w:p>
    <w:p>
      <w:r>
        <w:t xml:space="preserve">Table 2: Gas station locations nationwide  </w:t>
        <w:br/>
        <w:t xml:space="preserve">2004 2005 2006 2007 2008  </w:t>
        <w:br/>
        <w:t xml:space="preserve">absolute in % absolute in % absolute in % absolute in % absolute in %  </w:t>
        <w:br/>
        <w:t xml:space="preserve">Aral 2603 16.9 2498 16.6 2446 16.5 2402 16.4 2275 15.7  </w:t>
        <w:br/>
        <w:t xml:space="preserve">Shell 2306 15.0 2151 14.3 2142 14.5 2145 14.6 2156 14.8  </w:t>
        <w:br/>
        <w:t xml:space="preserve">Conoco 722 4.7 709 4.7 723 4.9 724 4.9 725 5.0  </w:t>
        <w:br/>
        <w:t xml:space="preserve">Bft 1533 10.0 1506 10.0 1543 10.4 1608 11.0 1659 11.4  </w:t>
        <w:br/>
        <w:t xml:space="preserve">Esso 1292 8.4 1236 8.2 1190 8.0 1174 8.0 1150 7.9  </w:t>
        <w:br/>
        <w:t xml:space="preserve">Total 1068 6.9 1116 7.4 1015 6.9 986 6.7 981 6.8  </w:t>
        <w:br/>
        <w:t xml:space="preserve">Agip 583 3.8 670 4.4 669 4.5 661 4.5 651 4.5  </w:t>
        <w:br/>
        <w:t xml:space="preserve">Avia 751 4.9 802 5.3 798 5.4 806 5.5 794 5.5  </w:t>
        <w:br/>
        <w:t xml:space="preserve">OMV 384 2.5 378 2.5 396 2.7 405 2.8 396 2.7  </w:t>
        <w:br/>
        <w:t xml:space="preserve">Orlen 492 3.2 483 3.2 476 3.2 467 3.2 516 3.6  </w:t>
        <w:br/>
        <w:t xml:space="preserve">Others 3671 23.8 3521 23.4 3413 23.0 3281 22.4 3224 22.2  </w:t>
        <w:br/>
        <w:t xml:space="preserve">Total  </w:t>
        <w:br/>
        <w:t xml:space="preserve">Oligopoly 7991 51.9 7710 51.2 7516 50.7 7431 50.7 7287 50.2  </w:t>
        <w:br/>
        <w:t xml:space="preserve">Total  </w:t>
        <w:br/>
        <w:t xml:space="preserve">overall 15405 15070 14811 14659 14527  </w:t>
        <w:br/>
        <w:t>IIVV</w:t>
      </w:r>
    </w:p>
    <w:p>
      <w:r>
        <w:rPr>
          <w:b/>
        </w:rPr>
        <w:t>[Pages 34–36]</w:t>
      </w:r>
    </w:p>
    <w:p>
      <w:r>
        <w:t xml:space="preserve">Table 3: Gas Station Locations in Regional Markets According to the Accessibility Model (60 Minutes Travel Time)  </w:t>
        <w:br/>
        <w:t xml:space="preserve">Berlin Adlergestell Berlin-Marzahn Erkner  </w:t>
        <w:br/>
        <w:t xml:space="preserve">absolute in % absolute in % absolute in %  </w:t>
        <w:br/>
        <w:t xml:space="preserve">Aral 115 21.8 114 22.1 110 21.4  </w:t>
        <w:br/>
        <w:t xml:space="preserve">Shell 85 16.1 87 16.9 89 17.3  </w:t>
        <w:br/>
        <w:t xml:space="preserve">Conoco 23 4.4 21 4.1 19 3.7  </w:t>
        <w:br/>
        <w:t xml:space="preserve">Bft 106 20.1 100 19.4 100 19.5  </w:t>
        <w:br/>
        <w:t xml:space="preserve">Esso 38 7.2 39 7.6 36 7.0  </w:t>
        <w:br/>
        <w:t xml:space="preserve">Total 63 11.9 58 11.2 62 12.1  </w:t>
        <w:br/>
        <w:t xml:space="preserve">Agip 17 3.2 19 3.7 18 3.5  </w:t>
        <w:br/>
        <w:t xml:space="preserve">Avia 0 0.0 0 0.0 0 0.0  </w:t>
        <w:br/>
        <w:t xml:space="preserve">OMV 0 0.0 0 0.0 0 0.0  </w:t>
        <w:br/>
        <w:t xml:space="preserve">Orlen 27 5.1 27 5.2 25 4.9  </w:t>
        <w:br/>
        <w:t xml:space="preserve">Others 54 10.2 51 9.9 54 10.5  </w:t>
        <w:br/>
        <w:t xml:space="preserve">Total 528 100 516 100 513 100  </w:t>
        <w:br/>
        <w:t xml:space="preserve">Total  </w:t>
        <w:br/>
        <w:t xml:space="preserve">Oligopoly 324 61.4 319 61.8 316 61.6  </w:t>
        <w:br/>
        <w:t xml:space="preserve">Fredersdorf Nordhausen Eisleben  </w:t>
        <w:br/>
        <w:t xml:space="preserve">absolute in % absolute in % absolute in %  </w:t>
        <w:br/>
        <w:t xml:space="preserve">Aral 110 20.8 18 12.3 30 16.3  </w:t>
        <w:br/>
        <w:t xml:space="preserve">Shell 90 17.0 11 7.5 24 13.0  </w:t>
        <w:br/>
        <w:t xml:space="preserve">Conoco 21 4.0 3 2.1 8 4.3  </w:t>
        <w:br/>
        <w:t xml:space="preserve">Bft 105 19.9 51 34.9 45 24.5  </w:t>
        <w:br/>
        <w:t xml:space="preserve">Esso 40 7.6 6 4.1 14 7.6  </w:t>
        <w:br/>
        <w:t xml:space="preserve">Total 64 12.1 8 5.5 8 4.3  </w:t>
        <w:br/>
        <w:t xml:space="preserve">Agip 19 3.6 5 3.4 10 5.4  </w:t>
        <w:br/>
        <w:t xml:space="preserve">Avia 0 0.0 8 5.5 3 1.6  </w:t>
        <w:br/>
        <w:t xml:space="preserve">OMV 0 0.0 2 1.4 2 1.1  </w:t>
        <w:br/>
        <w:t xml:space="preserve">Orlen 27 5.1 14 9.6 15 8.2  </w:t>
        <w:br/>
        <w:t xml:space="preserve">Others 52 9.8 20 13.7 25 13.6  </w:t>
        <w:br/>
        <w:t xml:space="preserve">Total 528 100 146 100 184 100  </w:t>
        <w:br/>
        <w:t xml:space="preserve">Total  </w:t>
        <w:br/>
        <w:t>Oligopoly 325 61.6 46 31.5 84 45.7</w:t>
      </w:r>
    </w:p>
    <w:p>
      <w:r>
        <w:t xml:space="preserve">Table 4: Market Shares in Nationwide Fuel Sales  </w:t>
        <w:br/>
        <w:t xml:space="preserve">2004 2005 2006 2007 2008  </w:t>
        <w:br/>
        <w:t xml:space="preserve">(in %) (in %) (in %) (in %) (in %)  </w:t>
        <w:br/>
        <w:t xml:space="preserve">Aral 23 22.5 22.0 to 22.5 22.5 to 23.0 23  </w:t>
        <w:br/>
        <w:t xml:space="preserve">Shell 21 20.5 21.0 to 21.5 22.5 23  </w:t>
        <w:br/>
        <w:t xml:space="preserve">Conoco 9 9.5 10 10 9.5  </w:t>
        <w:br/>
        <w:t xml:space="preserve">Bft 9.5 9.5 9.5 9.5 9.5  </w:t>
        <w:br/>
        <w:t xml:space="preserve">Esso 10 9.5 9 8.5 to 9.0 8.5  </w:t>
        <w:br/>
        <w:t xml:space="preserve">Total 9.0 9.0 8.5 8.5 8.5  </w:t>
        <w:br/>
        <w:t xml:space="preserve">Agip 3.5 4.0 4.5 4.5 4.0  </w:t>
        <w:br/>
        <w:t xml:space="preserve">Avia 3.5 3.5 3.5 3.5 3.5  </w:t>
        <w:br/>
        <w:t xml:space="preserve">OMV 2.5 2.5 3.0 3.0 3.0  </w:t>
        <w:br/>
        <w:t xml:space="preserve">Orlen 2.0 3.0 2.5 2.5 3.0  </w:t>
        <w:br/>
        <w:t xml:space="preserve">Others 7.0 6.5 6.0 5.0 4.5  </w:t>
        <w:br/>
        <w:t xml:space="preserve">Total  </w:t>
        <w:br/>
        <w:t xml:space="preserve">72 71 70.5 to 71.5 72.0 to 73.0 72.5  </w:t>
        <w:br/>
        <w:t xml:space="preserve">Oligopoly  </w:t>
        <w:br/>
        <w:t xml:space="preserve">Total  </w:t>
        <w:br/>
        <w:t xml:space="preserve">100 100 100 100 100  </w:t>
        <w:br/>
        <w:t>overall</w:t>
      </w:r>
    </w:p>
    <w:p>
      <w:r>
        <w:t xml:space="preserve">Table 5: Shareholders in German Refineries  </w:t>
        <w:br/>
        <w:t xml:space="preserve">Refinery Location Shareholder  </w:t>
        <w:br/>
        <w:t xml:space="preserve">Norden Oil Works Holstein Heide/Holstein 100% Shell Deutschland Oil GmbH  </w:t>
        <w:br/>
        <w:t xml:space="preserve">Elbe Mineral Oil Works Refinery Center Hamburg-Harburg Hamburg 100% Shell Deutschland Oil GmbH  </w:t>
        <w:br/>
        <w:t xml:space="preserve">Holborn Europe Refinery GmbH Hamburg 100% Holborn Investment Company Ltd.  </w:t>
        <w:br/>
        <w:t xml:space="preserve">Wilhelmshaven Refinery Company mbH Wilhelmshaven 100% ConocoPhillips Energy Holding GmbH  </w:t>
        <w:br/>
        <w:t xml:space="preserve">Oil Refinery Emsland Lingen/Ems 100% Deutsche BP AG  </w:t>
        <w:br/>
        <w:t xml:space="preserve">West Rheinland Refinery, Plant Godorf Cologne-Godorf 100% Shell Deutschland Oil GmbH  </w:t>
        <w:br/>
        <w:t xml:space="preserve">Rheinland Refinery, Plant Wesseling Cologne-Wesseling 100% Shell Deutschland Oil GmbH  </w:t>
        <w:br/>
        <w:t xml:space="preserve">50% BP Refining and Petrochemicals GmbH  </w:t>
        <w:br/>
        <w:t xml:space="preserve">Ruhr Oel GmbH Gelsenkirchen  </w:t>
        <w:br/>
        <w:t xml:space="preserve">50% Petróleos de Venezuela S.A.  </w:t>
        <w:br/>
        <w:t xml:space="preserve">32.25% Shell Deutschland Oil GmbH  </w:t>
        <w:br/>
        <w:t xml:space="preserve">25.00% Esso Deutschland GmbH  </w:t>
        <w:br/>
        <w:t xml:space="preserve">Southwest MiRO Mineral Oil Refinery Upper Rhine GmbH &amp; Co. KG Karlsruhe  </w:t>
        <w:br/>
        <w:t xml:space="preserve">24.00% Ruhr Oel GmbH  </w:t>
        <w:br/>
        <w:t xml:space="preserve">18.75% ConocoPhilips Continental Holding GmbH  </w:t>
        <w:br/>
        <w:t xml:space="preserve">Petroplus Refinery Ingolstadt GmbH Ingolstadt 100% Petroplus Holdings AG, Zug  </w:t>
        <w:br/>
        <w:t xml:space="preserve">45.00% OMV AG  </w:t>
        <w:br/>
        <w:t xml:space="preserve">20.00% Agip Deutschland GmbH  </w:t>
        <w:br/>
        <w:t xml:space="preserve">Bayernoil Refinery Company mbH Vohburg/Ingolstadt  </w:t>
        <w:br/>
        <w:t xml:space="preserve">25.00% Ruhr Oel GmbH  </w:t>
        <w:br/>
        <w:t xml:space="preserve">10.00% Deutsche BP AG  </w:t>
        <w:br/>
        <w:t xml:space="preserve">OMV Deutschland GmbH Burghausen 100% OMV  </w:t>
        <w:br/>
        <w:t xml:space="preserve">37.50% Shell Deutschland Oil GmbH  </w:t>
        <w:br/>
        <w:t xml:space="preserve">37.50% Ruhr Oel GmbH  </w:t>
        <w:br/>
        <w:t xml:space="preserve">East PCK Refinery GmbH Schwedt Schwedt  </w:t>
        <w:br/>
        <w:t xml:space="preserve">25.00% AET Refinery Participation Company mbH (Total and  </w:t>
        <w:br/>
        <w:t xml:space="preserve">Agip)  </w:t>
        <w:br/>
        <w:t>TOTAL Refinery Central Germany GmbH Spergau 100% Total S.A., Paris</w:t>
      </w:r>
    </w:p>
    <w:p>
      <w:r>
        <w:t xml:space="preserve">Table 6: Shareholders of the Most Important Pipelines for Germany  </w:t>
        <w:br/>
        <w:t xml:space="preserve">Pipeline Operating Company Shareholder  </w:t>
        <w:br/>
        <w:t xml:space="preserve">55% TOTAL Refinery Central Germany GmbH, Spergau  </w:t>
        <w:br/>
        <w:t xml:space="preserve">MVL Mineral Oil Pipeline GmbH Schwedt  </w:t>
        <w:br/>
        <w:t xml:space="preserve">45% PCK Refinery GmbH, Schwedt/Oder  </w:t>
        <w:br/>
        <w:t xml:space="preserve">North German Oil Pipeline Company mbH c/o  </w:t>
        <w:br/>
        <w:t xml:space="preserve">NDO 100% HOLBORN Investment Co. Ltd., Larnaca (CY)  </w:t>
        <w:br/>
        <w:t xml:space="preserve">HOLBORN Europe Refinery GmbH  </w:t>
        <w:br/>
        <w:t xml:space="preserve">33.69% Ruhr Oel GmbH, Gelsenkirchen  </w:t>
        <w:br/>
        <w:t xml:space="preserve">25.64% Deutsche BP Aktiengesellschaft, Hamburg  </w:t>
        <w:br/>
        <w:t xml:space="preserve">NWO North-West Oil Pipeline GmbH  </w:t>
        <w:br/>
        <w:t xml:space="preserve">20.40% Shell Deutschland Oil GmbH, Hamburg  </w:t>
        <w:br/>
        <w:t xml:space="preserve">20.27% HOLBORN Europe Refinery GmbH, Hamburg  </w:t>
        <w:br/>
        <w:t xml:space="preserve">41% Deutsche Shell Holding GmbH, Hamburg  </w:t>
        <w:br/>
        <w:t xml:space="preserve">31% Deutsche BP Aktiengesellschaft, Hamburg  </w:t>
        <w:br/>
        <w:t xml:space="preserve">Rhein-Main Pipeline Transport Company  </w:t>
        <w:br/>
        <w:t xml:space="preserve">RMR 22% Shell Deutschland Oil GmbH, Hamburg  </w:t>
        <w:br/>
        <w:t xml:space="preserve">mbH.  </w:t>
        <w:br/>
        <w:t xml:space="preserve">4% BP Refining &amp; Petrochemicals GmbH, Gelsenkirchen  </w:t>
        <w:br/>
        <w:t xml:space="preserve">2% ESSO Deutschland GmbH, Hamburg  </w:t>
        <w:br/>
        <w:t xml:space="preserve">40% Shell Petroleum N.V,  </w:t>
        <w:br/>
        <w:t xml:space="preserve">20% Ruhr Oel GmbH  </w:t>
        <w:br/>
        <w:t xml:space="preserve">RRP N.V. Rotterdam-Rijn Pipeline Company 20% BP Mineralöl GmbH  </w:t>
        <w:br/>
        <w:t xml:space="preserve">10% Shell Deutschland Oil GmbH  </w:t>
        <w:br/>
        <w:t xml:space="preserve">10% Texaco Nederland B.V.  </w:t>
        <w:br/>
        <w:t xml:space="preserve">12.10% BP France/BP p.l.c.  </w:t>
        <w:br/>
        <w:t xml:space="preserve">10.00% BASF AG  </w:t>
        <w:br/>
        <w:t xml:space="preserve">2.00% Conoco Phillips Germany GmbH  </w:t>
        <w:br/>
        <w:t xml:space="preserve">SPSE South European Pipeline Company 22.00% ExxonMobil Corporation  </w:t>
        <w:br/>
        <w:t xml:space="preserve">10.32% Société des Pétroles Shell  </w:t>
        <w:br/>
        <w:t xml:space="preserve">15.40% Société de Participations dans l'industrie et le Transport du Pétrole  </w:t>
        <w:br/>
        <w:t xml:space="preserve">27.84% Total France/Total SA  </w:t>
        <w:br/>
        <w:t xml:space="preserve">25% OMV Deutschland GmbH, Burghausen, Salzach  </w:t>
        <w:br/>
        <w:t xml:space="preserve">24% Shell Deutschland Oil GmbH, Hamburg  </w:t>
        <w:br/>
        <w:t xml:space="preserve">16% ESSO Deutschland Oil GmbH, Hamburg  </w:t>
        <w:br/>
        <w:t xml:space="preserve">TAL German Transalpine Oil Pipeline GmbH 11% Ruhr Oel GmbH, Gelsenkirchen  </w:t>
        <w:br/>
        <w:t xml:space="preserve">10% AGIP Deutschland GmbH, Munich  </w:t>
        <w:br/>
        <w:t xml:space="preserve">9% Deutsche BP Aktiengesellschaft, Hamburg  </w:t>
        <w:br/>
        <w:t>3% ConocoPhilip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