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https://www.bundeskartellamt.de/SharedDocs/Entscheidung/DE/Fallberichte/Fusionskontrolle/2023/B8-134-21.pdf?__blob=publicationFile&amp;v=5</w:t>
      </w:r>
    </w:p>
    <w:p>
      <w:r>
        <w:t>Pages translated : 13</w:t>
      </w:r>
    </w:p>
    <w:p/>
    <w:p>
      <w:r>
        <w:rPr>
          <w:b/>
        </w:rPr>
        <w:t>[Pages 1–3]</w:t>
      </w:r>
    </w:p>
    <w:p>
      <w:r>
        <w:t xml:space="preserve">Case Report January 20, 2023  </w:t>
        <w:br/>
        <w:t xml:space="preserve">Federal Cartel Office approves strategic connection of RheinEnergie with Westenergie (E.ON) only under conditions  </w:t>
        <w:br/>
        <w:t xml:space="preserve">Industry: Energy Sector  </w:t>
        <w:br/>
        <w:t xml:space="preserve">File Number: B8-134/21  </w:t>
        <w:br/>
        <w:t>Date of Decision: September 30, 2022</w:t>
      </w:r>
    </w:p>
    <w:p>
      <w:r>
        <w:t>The Federal Cartel Office has approved the planned strategic connection between the E.ON subsidiary Westenergie and RheinEnergie after modifications to the planned merger in the main examination procedure. RheinEnergie must divest significant parts of its heating electricity business to another company. The investigations revealed that the merger without this divestiture would particularly lead to a strengthening of the dominant market position of the RheinEnergie Group in several heating electricity markets in and around Cologne. Furthermore, the project would lead to a critical strengthening of the market position of the parties involved in the operation of charging stations for electric cars in certain local markets within the municipal areas of Bergheim, Cologne, and Sankt Augustin. Although the divestiture of RheinEnergie's heating electricity business does not address all problematic markets, the overall improvements in competitive conditions in the directly addressed heating electricity markets outweigh the remaining competitive restrictions, so that the project had to be approved under the balancing clause (§ 36 Abs. 1 Nr. 1 GWB). The project affected nearly all value creation stages of the energy industry. However, no merger control concerns arose in the other areas.</w:t>
      </w:r>
    </w:p>
    <w:p>
      <w:r>
        <w:t>Westenergie is part of the E.ON Group. This group operates in Germany across all value creation stages of the energy industry, primarily focusing on supplying end customers with electricity, gas, water, and heat, as well as operating associated distribution networks and also in the field of e-mobility. Westenergie was sold to E.ON in 2020 as part of the then RWE subsidiary innogy. E.ON, through Westenergie, holds stakes in several municipal utilities and regional suppliers in the Rhineland.</w:t>
      </w:r>
    </w:p>
    <w:p>
      <w:r>
        <w:t>RheinEnergie is a regional utility company operating in the greater Cologne area across all value creation stages of the energy industry, primarily focusing on supplying end customers with electricity, gas, water, and heat, as well as operating associated distribution networks and also in the field of e-mobility. RheinEnergie holds stakes in several municipal utilities in the Rhineland.</w:t>
      </w:r>
    </w:p>
    <w:p>
      <w:r>
        <w:t xml:space="preserve">The planned transaction essentially consists of three parts (see diagram on page 3):  </w:t>
        <w:br/>
        <w:t xml:space="preserve">- Firstly, RheinEnergie and Westenergie place their municipal utility holdings in the Cologne surrounding area under joint control in the joint venture rhenag. Specifically, RheinEnergie contributes its shareholdings in Aggerenergie, GVG Rhein-Erft, Stromnetz Bornheim, Stadtwerke Lohmar, Stadtwerke Sankt Augustin, evd Dormagen, Stadtwerke Pulheim, and Stadtwerke Troisdorf to rhenag; additionally, RheinEnergie acquires joint control over rhenag. Westenergie retains control—now joint control—over rhenag, which continues to hold stakes particularly in Rhein-Sieg Netzgesellschaft, Westerwald-Netz, Energieversorgung Niederkassel, Gemeindewerke Windeck, Stadtwerke Siegburg, Hennef (Sieg) Netz, and e-regio Euskirchen. Furthermore, Westenergie contributes its additional stakes in e-regio Euskirchen as well as its shareholdings in EWR Remscheid, Stadtwerke Haan, Stadtwerke Ratingen, Stadtwerke Langenfeld, and BEW Netze Wipperfürth to rhenag.  </w:t>
        <w:br/>
        <w:t xml:space="preserve">- Secondly, Westenergie and thus E.ON increase their stake in RheinEnergie to just under 25 percent and simultaneously acquire significant competitive influence over RheinEnergie for the first time.  </w:t>
        <w:br/>
        <w:t xml:space="preserve">- The third part of the transaction project, the acquisition of the previously held 20 percent stake in the Duisburg municipal utilities by RheinEnergie from Westenergie, has already been examined separately and approved.  </w:t>
        <w:br/>
        <w:t>2</w:t>
      </w:r>
    </w:p>
    <w:p>
      <w:r>
        <w:t>3</w:t>
      </w:r>
    </w:p>
    <w:p>
      <w:r>
        <w:rPr>
          <w:b/>
        </w:rPr>
        <w:t>[Pages 4–6]</w:t>
      </w:r>
    </w:p>
    <w:p>
      <w:r>
        <w:t xml:space="preserve">First-time acquisition of competitively significant influence on RheinEnergie by Westenergie  </w:t>
        <w:br/>
        <w:t xml:space="preserve">The planned transaction results in the first-time acquisition of competitive influence by Westenergie and thus by E.ON over RheinEnergie. Westenergie's previous 20 percent shareholding in RheinEnergie dates back to 2002 and was structured below the threshold of competitively significant influence due to concerns from the Federal Cartel Office. The current project now particularly provides for additional shareholder rights for Westenergie, which represent a decisive plus factor. In addition, E.ON increases its stake in RheinEnergie to below 25 percent. The bundling of the subsidiaries of both companies in the Rhineland in the joint venture rhenag also leads to a significantly greater need for coordination. The mutual access and consideration of the respective affiliated companies or shareholdings require consultations to a more economically significant extent, so that both companies can no longer be regarded as independent competitors. Furthermore, the project realizes several other merger control scenarios: several indirect acquisitions of joint control by RheinEnergie or by Westenergie through shares in municipal utility holdings contributed by the other company, as well as by RheinEnergie through rhenag itself.  </w:t>
        <w:br/>
        <w:t xml:space="preserve">Affected markets  </w:t>
        <w:br/>
        <w:t>The project affects nearly all value creation stages of the energy industry. Significant merger control concerns arose in the areas of heating electricity and charging infrastructure. In the area of concessions for electricity and gas distribution networks, initial concerns were not substantiated. Furthermore, the project also concerns the areas of network operation, metering services, contracting, as well as other end customer markets for the supply of electricity and gas. The geographical focus of the project is in Cologne and the greater Cologne area. The following map exemplarily illustrates the spatial dimension of the project in the region based on the basic supply areas of the participants.</w:t>
      </w:r>
    </w:p>
    <w:p>
      <w:r>
        <w:t xml:space="preserve">Heating electricity  </w:t>
        <w:br/>
        <w:t xml:space="preserve">Heating electricity refers to electricity used for the operation of controllable consumption devices for the purpose of space heating—primarily heat pumps and night storage heaters. The product heating electricity is significantly more complex compared to regular household electricity. Initially, the interruptibility can be technically represented via single or dual tariff meters and additionally through either separate or combined measurement with other household electricity. Furthermore, the supply quantity depends on the outside temperature. This is represented by temperature-dependent load profile groups, which further vary mostly according to the type of consumption device and also between the distribution network operators in Germany. Most suppliers offer one or more separate heating electricity tariffs, which also reflect the lower network fees and concession charges. Finally, the exact amount of the concession charges is associated with legal uncertainty. For heating electricity tariffs, according to the final report of the sector inquiry on heating electricity 2010, the lower special customer concession charge is generally to be applied. According to recent case law, this still applies at least for the supply of heating electricity customers outside the basic supply. Nevertheless, the amount of the concession charge to be applied poses a risk for the competitors of the basic supplier in tariff calculation due to differing interpretations of the Concession Charges Ordinance and the lack of case law, with regard to special contract customers.  </w:t>
        <w:br/>
        <w:t xml:space="preserve">The Federal Cartel Office consistently delineates a separate market for the supply of end customers with heating electricity in its established decision-making practice. Here, based on the analyses in the present procedure, a unified market for the supply of night storage heaters and heat pumps is still to be assumed. For customers, a short-term switch between the two types of consumption devices is not possible; however, nearly all suppliers offer tariffs for both types of consumption devices. There are similar qualitative characteristics for both consumption devices from the supplier side due to temperature-dependent supply, lower network fees, and concession charges. From the demand side, there are clear financial incentives for both types of consumption devices (except possibly for very small heat pumps) to use a heating electricity tariff. Unlike in the area of supplying regular standard load profile customers with electricity, there is no substantive distinction between supply in the basic supply or under special contract conditions, as in the area of heating electricity supply, the basic supplier regularly holds a prominent market position compared to third parties due to structural competitive advantages (see below). This advantage exists for the basic supplier regardless of whether the supply is made within the framework of the basic supply or outside through special contracts.  </w:t>
        <w:br/>
        <w:t>Geographically, the Federal Cartel Office consistently delineates the heating electricity markets locally, based on the geographical extent of basic supply or network areas. The European Commission had considered the assumption of a national heating electricity market in a recent decision Entega/Viessmann based on energy monitoring indicators, but left the geographical market delineation open due to a lack of decision significance. However, the investigations of the Federal Cartel Office in the present case have confirmed the previous local market delineation. In all examined supply areas, local dominant positions of the basic suppliers emerge, which cannot be adequately represented by a national or alternatively regional market delineation. Although there are alternative suppliers available to customers alongside the local basic supplier, in a large part of the network areas, only a few suppliers are active, and the scope of activity is also heavily dependent on the respective network area. A large part of these active suppliers, at least in the network areas of the Rhineland Network Company (RNG) and Westnetz examined here, are only quantitatively minimally involved in the local supply of heating electricity customers and thus do not represent equally relevant sourcing alternatives for the customers. The survey of the</w:t>
      </w:r>
    </w:p>
    <w:p>
      <w:r>
        <w:rPr>
          <w:b/>
        </w:rPr>
        <w:t>[Pages 7–9]</w:t>
      </w:r>
    </w:p>
    <w:p>
      <w:r>
        <w:t>Bundeskartellamt's investigation of competitors also revealed that the supra-regional supply of heating electricity is associated with higher effort. Due to the diverse possible network operator specifications for the different connection variants of heat pumps and night storage heaters, there are still relevant differences in the type, number, and billing of the utilized load profiles. Overall, the investigations showed that the supra-regional supply of heating electricity is of rather low significance for most suppliers. The local presence of alternative, supra-regional providers is therefore not sufficient to assume a nationwide market. The competitive pressure from these providers was rather to be considered within the framework of the competitive assessment.</w:t>
      </w:r>
    </w:p>
    <w:p>
      <w:r>
        <w:t>The project would have led to a strengthening of the dominant market position of RheinEnergie or companies of the RheinEnergie group in ten local markets in the greater Cologne area due to the elimination of competition from the E.ON group without the divestiture of substantial parts of the heating electricity business. At the same time, the project leads to a strengthening of the dominant market position of the E.ON group in two additional markets due to the elimination of competition through the contributions of RheinEnergie to rhenag. The affected areas are depicted in the map below and listed as follows:</w:t>
        <w:br/>
        <w:t>- Basic supply areas of RheinEnergie in the network areas of RNG, Westnetz, and Regionetz,</w:t>
        <w:br/>
        <w:t>- the basic supply areas of Aggerenergie, BELKAW, evd Dormagen, Energieversorgung Leverkusen, Stadtwerke Lohmar, and E.ON Deutschland in the network area of RNG,</w:t>
        <w:br/>
        <w:t>- the basic supply areas of Stadtwerke St. Augustin and rhenag in the network area of Westnetz, and</w:t>
        <w:br/>
        <w:t>- the basic supply area of Stadtwerke Troisdorf in its own network area.</w:t>
      </w:r>
    </w:p>
    <w:p>
      <w:r>
        <w:t>In the basic supply area of E.ON Deutschland as well as in the basic supply area of e-regio, both in the network area of Westnetz, there are no critical strengthening effects on the market-dominating E.ON group due to insufficient activities of the contributing companies or RheinEnergie itself.</w:t>
      </w:r>
    </w:p>
    <w:p>
      <w:r>
        <w:t>The spatial market of E.ON Deutschland in the network area of RNG could only be partially represented. This also includes concession areas in the municipalities of Marienheide, Reichshof, and Morsbach. Despite the now long-standing liberalization of energy markets, the investigations by the authority revealed that in almost all these spatial markets, the shares of the local basic supplier range between 60 and 90 percent, thus significantly exceeding the presumption threshold of single market dominance; this aligns with the results of the annual energy monitoring. The significance of alternative providers is initially low in all the markets considered. In view of such market concentration, the remaining competition is all the more worthy of protection. And this remaining competition has a comparatively significant share from the competition by the E.ON group or the contributing company. The elimination of this competition through the planned transaction would therefore have led to a substantial strengthening of the market position of the respective dominant basic supplier.</w:t>
      </w:r>
    </w:p>
    <w:p>
      <w:r>
        <w:t>The strong position of the basic supplier is structurally reinforced in the area of heating electricity, regardless of whether the supply type is basic supply or special contract. A significant cause here are obstacles in the customer switching process to competitors of the basic supplier. Due to the complexity of the heating electricity product, suppliers require technical information for supply regarding the consumption device (including standard consumption quantity, type of consumption device) and the network and network connection situation (installed meter type and relevant load profile). This regularly leads to complex clarification cases during the switching process with providers different from the local basic supplier, where technical data must be reconciled among several actors (end consumer, old supplier, new supplier, network operator) as part of the established business processes for customer supply with electricity (GPKE). This delays the switching process or, in extreme cases, can lead to a failure to conclude the contract and thus to a customer's return to the basic supply. In contrast, the basic supplier receives this data in its supply area at the initiative of the network operator, so that the clarification case issue does not arise in the basic supply contract and when switching to another contract of the basic supplier.</w:t>
      </w:r>
    </w:p>
    <w:p>
      <w:r>
        <w:t xml:space="preserve">Charging Infrastructure  </w:t>
        <w:br/>
        <w:t>In the context of examining the merger project, the Bundeskartellamt has, for the first time, delineated separate relevant markets for the operation of publicly accessible charging infrastructure based on charging power for the operation of normal charging points (up to and including 22 kW charging power) and for the operation of fast charging points (over 22 kW charging power). Furthermore, for fast charging points, a distinction was made between locations "on the highway" and "off the highway." Whether such a distinction by locations should also be made for normal charging points and whether further differentiation by various power classes should be made for fast charging points could remain open due to lack of decision relevance.</w:t>
      </w:r>
    </w:p>
    <w:p>
      <w:r>
        <w:t>Spatially, the relevant markets for the operation of publicly accessible charging station infrastructure are to be delineated regionally. The Bundeskartellamt has, considering all available investigation findings, conducted an alternative consideration of conceivable relevant geographical market areas for the affected normal charging points with a power of up to 22 kW with a radius of (i) one km, (ii) two km, (iii) three km, and (iv) four km around a charging point. For fast charging points on and off the federal highway, the Bundeskartellamt has assumed a market area of 20 km. Whether the market areas for fast charging points could also be defined more broadly, for example up to 60 km, could remain open in this case.</w:t>
      </w:r>
    </w:p>
    <w:p>
      <w:r>
        <w:t>The exact substantive and spatial delineation of the areas to be considered separately from the operation of charging infrastructure for the provision of charging options via charging card (EMP market) and for the</w:t>
      </w:r>
    </w:p>
    <w:p>
      <w:r>
        <w:rPr>
          <w:b/>
        </w:rPr>
        <w:t>[Pages 10–12]</w:t>
      </w:r>
    </w:p>
    <w:p>
      <w:r>
        <w:t>competitive force as a counterweight to the dominant basic supplier RheinEnergie, not only eliminating the prohibition requirements but also improving the competitive situation, which far exceeds the deterioration caused by the merger. The other local prohibition markets in the area of heating electricity are located in the supply areas of (majority) holdings of RheinEnergie or group companies of Westenergie. These are not directly addressed by the commitment, as no customer contracts are being sold in these areas. The commitment also does not address the prohibition markets in the area of charging infrastructure. Thus, prohibition markets above the de minimis market clause of § 36 Abs. 1 Nr. 2 GWB remain. In the area of heating electricity, the creation of the strongest competitive force by far prevails.</w:t>
      </w:r>
    </w:p>
    <w:p>
      <w:r>
        <w:rPr>
          <w:b/>
        </w:rPr>
        <w:t>[Pages 13–13]</w:t>
      </w:r>
    </w:p>
    <w:p>
      <w:r>
        <w:t>The creation of the competitor, which is by far the strongest against the dominant basic supplier Rheinenergie in the addressed heating electricity markets, however, outweighs both quantitatively and qualitatively the elimination of the E.ON Group as a competitor of Rheinenergie or RheinEnergie as a competitor of the E.ON Group in the remaining prohibition markets. For a comprehensive consideration, the sold customer package outweighs the overall market share increase caused by the merger in all heating electricity prohibition markets by approximately a factor of 2. If one only considers the guaranteed number of 5,000 customer contracts after the possible exercise of special termination rights by the customers, this factor still amounts to approximately 1.5; this corresponds to [3,000-4,000] supplied market locations. This predominance also emerged in a regional consideration that spans the spatially relevant markets. Thus, the total number of supplied market locations in the prohibition markets is around [40,000-45,000]. Therefore, the acquirer achieved a total customer share of [10-15] percent in this hypothetical consideration and would thus be far ahead of the second strongest force in the Rhineland after Rheinenergie and ahead of other competitors. Additionally, the excessive improvements in the addressed heating electricity prohibition markets also outweigh the competitive deteriorations in the prohibition markets for normal charging points due to the low revenues of approximately [70,000-80,000] euros in these narrow local market areas. The project was therefore to be cleared according to the balancing clause of § 36 Abs. 1 Satz 2 Nr. 1 GWB.</w:t>
      </w:r>
    </w:p>
    <w:p>
      <w:r>
        <w:t>The establishment of the balancing clause occurs only through the modification of the merger project by the divestiture obligation. This is legally permissible: The decisive factor for triggering the balancing clause through commitments was the causal connection of the triggered improvements with the planned project, as an equivalent improvement without the modified merger project would not have been expected in the forecast period.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