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https://www.bundeskartellamt.de/SharedDocs/Entscheidung/DE/Entscheidungen/Missbrauchsaufsicht/2012/B8-159-11.pdf;jsessionid=0A7292BBAB61C5D7604CD9267ABA9B8C.2_cid390?__blob=publicationFile&amp;v=3</w:t>
      </w:r>
    </w:p>
    <w:p>
      <w:r>
        <w:t>Pages translated : 11</w:t>
      </w:r>
    </w:p>
    <w:p/>
    <w:p>
      <w:r>
        <w:rPr>
          <w:b/>
        </w:rPr>
        <w:t>[Pages 1–3]</w:t>
      </w:r>
    </w:p>
    <w:p>
      <w:r>
        <w:t xml:space="preserve">8. Decision Division  </w:t>
        <w:br/>
        <w:t xml:space="preserve">B 8 – 159/11  </w:t>
        <w:br/>
        <w:t xml:space="preserve">Decision  </w:t>
        <w:br/>
        <w:t xml:space="preserve">In the administrative procedure  </w:t>
        <w:br/>
        <w:t xml:space="preserve">against  </w:t>
        <w:br/>
        <w:t xml:space="preserve">Stadtwerke Mainz Netze GmbH  </w:t>
        <w:br/>
        <w:t xml:space="preserve">- represented by the managing directors -  </w:t>
        <w:br/>
        <w:t xml:space="preserve">Rheinallee 41  </w:t>
        <w:br/>
        <w:t xml:space="preserve">55118 Mainz  </w:t>
        <w:br/>
        <w:t xml:space="preserve">- Involved party -  </w:t>
        <w:br/>
        <w:t xml:space="preserve">the 8th Decision Division has decided on 08.05.2012:  </w:t>
        <w:br/>
        <w:t xml:space="preserve">1. The commitments offered by the involved party in a letter to the Decision Division dated 07.05.2012 are binding.  </w:t>
        <w:br/>
        <w:t xml:space="preserve">2. The procedure against the involved party is terminated in accordance with § 32 b paragraph 1 sentence 2 GWB.  </w:t>
        <w:br/>
        <w:t xml:space="preserve">3. The revocation of the order remains reserved.  </w:t>
        <w:br/>
        <w:t>4. The fee for the procedure including the decision amounts to [...] €.</w:t>
      </w:r>
    </w:p>
    <w:p>
      <w:r>
        <w:t xml:space="preserve">Reasons:  </w:t>
        <w:br/>
        <w:t xml:space="preserve">I. Facts  </w:t>
        <w:br/>
        <w:t xml:space="preserve">1. The involved party, Stadtwerke Mainz Netze GmbH, is a wholly-owned subsidiary of Stadtwerke Mainz AG (hereinafter: SW Mainz), which is entirely municipally owned. It supplies approximately 240,000 residents in Mainz and the surrounding area, specifically the city area of Mainz as well as the districts of Mainz-Kostheim, Mainz-Kastel, and Mainz-Amöneburg, which have belonged to Wiesbaden since 1945. Until October 31, 2011, SW Mainz was responsible for the water supply in Mainz. Since November 1, 2011, the responsibility for the water supply and its pricing has been transferred to "Energienetze Rhein Main GmbH," which is now called "Stadtwerke Mainz Netze GmbH" (hereinafter: involved party).  </w:t>
        <w:br/>
        <w:t xml:space="preserve">2. The total revenues of SW Mainz, or the central holding company acting as a holding company since 2011 for the City of Mainz for the fiscal year 2011, amount to approximately [...] million €.1 Of this, approximately [...] million € are attributable to the involved party. Of this, approximately [...] million € are attributable to the area of water supply.  </w:t>
        <w:br/>
        <w:t xml:space="preserve">3. Already in October 2003, the Decision Division reviewed the Mainz water prices based on §§ 22 paragraph 4, 5 in conjunction with 103 paragraph 5, 7 GWB a.F. in conjunction with 131 paragraph 8 GWB n.F. The affected SW Mainz subsequently reduced the basic water price Qn 2.5 to €112 as of January 1, 2005. Furthermore, a five-year moratorium on price stability was agreed upon (file number B8 – 104/03). Subsequently, the procedure was terminated by the Federal Cartel Office with a letter dated 25.10.2004.  </w:t>
        <w:br/>
        <w:t xml:space="preserve">4. With a letter dated 30.12.2011, the Decision Division initiated a new abuse procedure due to excessive water prices against the involved party. The procedure is supported on the one hand by the exploitation prohibition of § 19 paragraph 4 no. 2 of the Act against Restraints of Competition in its current version2 as well as by the provisions of § 103 paragraph 5, § 103 paragraph 7, and § 22 paragraph 5 of the Act against Restraints of Competition in the version of the fifth GWB amendment of 19903 ("GWB a.F.") due to the transitional provision of § 131 paragraph 6 GWB applicable to the water sector.  </w:t>
        <w:br/>
        <w:t xml:space="preserve">5. In its letter, the Decision Division acknowledged that SW Mainz, respectively the involved party, has not increased its basic or working water prices since January 1, 2005. Nevertheless, in light of the decision "Water Prices Wetzlar" by the Federal Court of Justice4 issued in 2010, a renewed review of the comparatively high water prices in Mainz is warranted. The suspicion of excessive water prices for the period after January 1, 2010, has arisen based on newer data obtained by the Decision Division through in-depth investigations in the water price procedure against the Berlin Water Works regarding the water supply of the 38 largest German cities (all with over 200,000 inhabitants). The City of Mainz, with just under 200,000 inhabitants, ranks as number 39 among the largest German cities. Along with the letter dated 30.12.2011, a questionnaire was sent to the involved party to collect the necessary data for further investigations.  </w:t>
        <w:br/>
        <w:t xml:space="preserve">6. The data provided by the involved party revealed that water prices in Mainz in 2010 were significantly above the water prices of comparable water suppliers as well as above the average water prices (revenues) in the 38 largest cities in Germany5 (all German cities with more than 200,000 inhabitants) and even more significantly above the average of all West German cities (excluding Berlin) with more than 200,000 inhabitants.  </w:t>
        <w:br/>
        <w:t xml:space="preserve">7. Subsequently, the involved party requested negotiations to address the concerns of the Decision Division through a commitment solution. A meeting took place in Bonn on 15.02.2012, followed by several conference calls in March 2012.  </w:t>
        <w:br/>
        <w:t xml:space="preserve">- After negotiations regarding the content of the commitment offer, the involved party submitted a binding commitment offer to the Decision Division in a letter dated 07.05.2012, which includes the following points:  </w:t>
        <w:br/>
        <w:t xml:space="preserve">3 Act against Restraints of Competition in the version published on 20.02.1990, BGBl. I 235, last amended by Art. 2 paragraph 3 of the Act dated 26.08.1998, BGBl. I 2512 – GWB 1990.  </w:t>
        <w:br/>
        <w:t xml:space="preserve">4 BGH, decision 18.10.2011 – file number: KVR 9/11.  </w:t>
        <w:br/>
        <w:t>5 Berlin, Hamburg, Munich, Cologne, Frankfurt, Stuttgart, Dortmund, Düsseldorf, Essen, Bremen, Hanover, Leipzig, Dresden, Nuremberg, Duisburg, Bochum, Wuppertal, Bielefeld, Bonn, Mannheim, Karlsruhe, Wiesbaden, Münster, Augsburg, Gelsenkirchen, Aachen, Mönchengladbach, Braunschweig, Chemnitz, Kiel, Krefeld, Halle, Magdeburg, Freiburg, Oberhausen, Lübeck, Erfurt, Rostock.</w:t>
      </w:r>
    </w:p>
    <w:p>
      <w:r>
        <w:rPr>
          <w:b/>
        </w:rPr>
        <w:t>[Pages 4–6]</w:t>
      </w:r>
    </w:p>
    <w:p>
      <w:r>
        <w:t>- The tax-adjusted average revenues of the parties will be reduced by approximately 15% based on the tax-adjusted average revenue from the year 2010.</w:t>
        <w:br/>
        <w:t>- The price reduction takes effect on 01.01.2013 and is valid until 31.12.2019.</w:t>
        <w:br/>
        <w:t>- If there are exceedances of the revenue cap within the first three-year period as well as the second four-year period due to deviations of actual from forecasted consumption, these will be compensated at the latest in the year following the period (if necessary, by offsetting with shortfalls in other years).</w:t>
        <w:br/>
        <w:t>- Since the commitment is based on the tax-adjusted average revenue (i.e., average revenues excluding VAT, concession fees, and water extraction charges), any increases in taxes and other public charges do not change the maximum permissible average revenue. The planned introduction of a groundwater extraction charge of €0.06/m³ by the state of Rhineland-Palatinate on 01.01.2013 may therefore compensate for part of the price reduction of Stadtwerke Mainz.</w:t>
        <w:br/>
        <w:t>- The involved party will inform the Federal Cartel Office annually by June 30 of the following year about the total drinking water revenues and the tax-adjusted revenues from the sale of drinking water to end customers as well as about the drinking water sales to end customers from the previous year.</w:t>
        <w:br/>
        <w:t>- The tariff design and the allocation of the revenue reduction to the respective customer groups are at the discretion of the involved party. The prohibition of significant discrimination against individual customer groups remains unaffected.</w:t>
        <w:br/>
        <w:t>- The involved party will not, on its own initiative, seek to terminate, amend, and/or revoke the concession agreement with the city of Mainz with the aim of collecting water charges through fees during the term of the commitments.</w:t>
        <w:br/>
        <w:t>8 The involved party was given the opportunity to comment on the draft decision pursuant to § 32b GWB by letter dated 03.05.2012.</w:t>
      </w:r>
    </w:p>
    <w:p>
      <w:r>
        <w:t>II. Legal Assessment</w:t>
        <w:br/>
        <w:t>9 The offered commitments are suitable to dispel the existing preliminary concerns of the decision-making department regarding the contested competitive behavior. Therefore, the decision-making department declares the commitments binding within the scope of its discretion and suspends the proceedings subject to the possibilities contained in § 32b Abs. 2 GWB.</w:t>
        <w:br/>
        <w:t>The preliminary assessment of the decision-making department is based on the considerations presented below.</w:t>
        <w:br/>
        <w:t>10 The Federal Cartel Office is responsible for the proceedings according to § 48 Abs. 2 S.1 GWB. According to this, the jurisdiction of the Federal Cartel Office is given if the effect of market influence or anti-competitive behavior extends beyond the territory of a federal state. The involved party supplies water customers in the federal states of Rhineland-Palatinate and Hesse with drinking water at uniform tariffs within its supply area.</w:t>
        <w:br/>
        <w:t>11 By demanding abusively high water prices, the involved party has, according to preliminary competitive assessment, violated § 19 Abs. 4 Nr. 2 GWB as well as § 103 Abs. 5 Satz 2 Nr. 2 GWB in conjunction with § 22 Abs. 4 Satz 2 Nr. 2 GWB 1990. According to preliminary evaluation, the drinking water prices of the involved party deviate from those drinking water prices that would likely arise under effective competition when compared to the prices of similar supply companies in the sense of § 19 Abs. 4 Nr. 2 GWB. According to preliminary assessment, the prices are also less favorable than those of similar supply companies in the sense of § 103 Abs. 5 Satz 2 Nr. 2 GWB 1990, without the difference being based on differing circumstances that could not be attributed to the supply company.</w:t>
        <w:br/>
        <w:t>12 The involved party holds a dominant market position in the supply of drinking water to end customers in the sense of § 19 Abs. 1 GWB. The involved party is also the addressee of the norms in §§ 103 Abs. 5 Satz 2 Nr. 2, Abs. 7 in conjunction with § 22 Abs. 5 GWB 1990. The relevant market is the market for the supply of end consumers with drinking water.</w:t>
        <w:br/>
        <w:t>13 The "water market," i.e., the market for public drinking water supply ("tap water"), is to be understood comprehensively. Only the sale of</w:t>
        <w:br/>
        <w:t>- mineral and table water (i.e., non-tap drinking water),</w:t>
        <w:br/>
        <w:t>- non-potable water (i.e., water without drinking water quality) as well as</w:t>
        <w:br/>
        <w:t>- drinking water to further distributors (usually municipal water suppliers) is to be excluded.</w:t>
        <w:br/>
        <w:t>14 The geographical limitation of the water market is determined by the reach of the respective drinking water supply network. In the case of the involved party, this covers the entire city area of Mainz on the Rhineland-Palatinate side as well as some areas on the Hessian side.</w:t>
        <w:br/>
        <w:t>15 Drinking water suppliers have a natural monopoly in the area of their supply network because there are no parallel pipeline networks, and the construction of additional networks neither appears intended nor economically viable or legally possible. The transmission of third-party network content, which is possible in other network industries, is, according to current knowledge, not applicable to drinking water at least at the end customer level. Unlike electricity and gas, and even more so in telecommunications, the physical transport of water over long distances is very complex. However, the transmission of drinking water from neighboring municipalities is also considered problematic and does not lead to competition for customers. While the local water supplier can obtain raw or drinking water from third parties, competition can only exist at this upstream "wholesale level." In the actual drinking water supply to end customers, competition is excluded due to the lack of customer-specific transmission. Different "waters" cannot easily be transmitted through the single network. The mixing of various individually harmless drinking waters can lead to chemical reactions that may significantly impair the overall quality of the water.</w:t>
        <w:br/>
        <w:t>16 The inviolability of the natural water supply monopoly of the involved party is also legally secured by a connection and usage obligation (§ 5 of the Water Supply Statute of the City of Mainz dated 27.09.1990).</w:t>
        <w:br/>
        <w:t>17 The water prices of the involved party are, according to the preliminary opinion of the decision-making department, abusively high. The involved party demands charges that deviate from those that would likely arise under effective competition.</w:t>
        <w:br/>
        <w:t>18 The decision-making department has compared the level of the charges of the involved party with those of other large urban water suppliers. It has been found that the Mainz water prices are above both the revenues and prices of comparable water suppliers as well as above the national average of the revenues of water suppliers in the 38 largest cities in Germany. For reasons of procedural acceleration, the decision-making department has based its overall assessment on its data.</w:t>
      </w:r>
    </w:p>
    <w:p>
      <w:r>
        <w:rPr>
          <w:b/>
        </w:rPr>
        <w:t>[Pages 7–9]</w:t>
      </w:r>
    </w:p>
    <w:p>
      <w:r>
        <w:t>19. The review of the Mainz water prices was conducted for the calendar year 2010 through a tax-adjusted (net) revenue comparison. This involves a comparison of the general, tariff-overarching average price of each individual company. This is determined by adding the end customer revenues from basic and variable prices across all tariff levels and then dividing this total by the sales volumes to end customers across all tariff levels. The tax-adjusted average price is used as the basis, meaning that value-added tax, concession fees, and water extraction charges are deducted. This method yields an average price per supplier as a benchmark for comparison. Here, further distributors are excluded. To calculate the tax-adjusted average price, the average net revenue obtained from end customer sales per cubic meter is reduced by the concession fees paid by the supplier per cubic meter and the water extraction charges per cubic meter. The total concession fees paid are divided by the total volume of water sold to end customers. The total water extraction charges paid are divided by the total volume of water sold (including sales to further distributors).</w:t>
      </w:r>
    </w:p>
    <w:p>
      <w:r>
        <w:t>20. In summary, the revenue comparison conducted to determine the price overcharge of the involved party is thus based on the average tax-adjusted net prices for the supply of end customers with drinking water.</w:t>
      </w:r>
    </w:p>
    <w:p>
      <w:r>
        <w:t>21. The applicability of the revenue comparison within the framework of antitrust price abuse supervision is recognized by the highest courts – both for the provision of § 103 GWB a.F. and for the norm of § 19 Abs. 4 Nr. 2 GWB. For the water sector, the revenue comparison appears particularly suitable. This is because a meaningful average price per m³ can be calculated from the revenues without any distortions, which contains the highest degree of objectivity, as it is not dependent on any additional company-specific components.</w:t>
      </w:r>
    </w:p>
    <w:p>
      <w:r>
        <w:t>22. The involved party can also be compared with the water suppliers of the 38 largest cities in Germany, as it is very similar to them both in terms of size criteria (especially regarding sales and revenue levels) and structurally. In addition, there are some water suppliers with lower prices that exhibit very similar structural factors. Since the East German cities have historically grounded structural peculiarities, the water supply of Mainz is particularly comparable to the West German major cities (excluding Berlin) with more than 200,000 inhabitants. Although the city of Mainz was just below the 200,000 inhabitant threshold in 2010, the involved party supplies more than 240,000 residents with drinking water due to the supply of certain districts of Wiesbaden within its supply area. Also, regarding the essential structural criteria (such as meter volume value, population density, and density of the supply network), the involved party exhibits similar structures to the large water suppliers in West Germany. Its corresponding values are even close to the average of the cities considered and not at their lower end.</w:t>
      </w:r>
    </w:p>
    <w:p>
      <w:r>
        <w:t>23. The drinking water revenues and prices of the involved party are above the drinking water revenues and prices of comparable West German water suppliers and also above the nationwide average price or the average price of the West German suppliers considered. Based on a tax-adjusted revenue comparison with West German water suppliers, a significant revenue overcharge results according to preliminary assessment.</w:t>
      </w:r>
    </w:p>
    <w:p>
      <w:r>
        <w:t>24. According to § 103 Abs. 5 Satz 2 Nr. 2 GWB a.F., the supply company can justify its comparatively less favorable prices if it demonstrates that "the difference is based on differing circumstances that are not attributable to it." However, the Federal Court of Justice has recently set strict requirements for the suitability of justification grounds. In the case of very high revenues in comparison, corresponding justification grounds must also be present that are suitable to significantly affect the level of water prices. Also, within the framework of § 19 Abs. 4 Nr. 2 GWB, the revenue overcharge can be justified substantively.</w:t>
      </w:r>
    </w:p>
    <w:p>
      <w:r>
        <w:t>25. Already in the proceedings B8-104/03 from 2003, SW Mainz invoked various reasons and detailed them to justify its significantly higher prices at that time. Currently, the involved party has also presented a number of justification factors to substantiate its elevated water prices. The justification grounds claimed are mostly company-specific factors that cannot be attributed to objective circumstances based on the structure of the supplied area and therefore cannot justify a correction surcharge.</w:t>
      </w:r>
    </w:p>
    <w:p>
      <w:r>
        <w:t>26. However, the involved party can also cite objectively structure-related factors that, due to comparatively high investments in the past, currently result in cost disadvantages (increased depreciation) and should be taken into account in the justification through a surcharge on the prices of comparable companies.</w:t>
      </w:r>
    </w:p>
    <w:p>
      <w:r>
        <w:t>27. In this case, however, the justification grounds presented were not individually reviewed by the decision-making department, as the willingness of the involved party to significantly reduce its water prices due to commitments to the decision-making department allowed for a complete investigation of the facts to be waived.</w:t>
      </w:r>
    </w:p>
    <w:p>
      <w:r>
        <w:t>28. In the commitments offered by the involved party, it commits to reducing its average annual drinking water revenues by more than 15% compared to 2010 from January 1, 2013, until December 31, 2019. The further distributor market (supply of further distributors with drinking water) is excluded from consideration.</w:t>
      </w:r>
    </w:p>
    <w:p>
      <w:r>
        <w:t>29. The tariff design and the distribution of the revenue reduction among the respective customer groups are at the discretion of SW Mainz Netze GmbH. However, they must not lead to significant discrimination against individual customer groups.</w:t>
      </w:r>
    </w:p>
    <w:p>
      <w:r>
        <w:t>30. It should be noted that the maximum requirement refers to the tax-adjusted average revenue, meaning that this price will still have charges such as the water extraction charge, concession fees, and value-added tax added. Therefore, the involved party will not be additionally burdened in the event of an increase in public charges. Conversely, this also means that the involved party must pass on public law charge reductions to its customers.</w:t>
      </w:r>
    </w:p>
    <w:p>
      <w:r>
        <w:t>31. The commitments apply for a long period of a total of seven years. The duration of seven years gives the involved party the opportunity to adjust to the intended lower price level in the long term. Both the involved party and its customers benefit from long-term planning security in this respect. The commitments do not provide for inflation compensation. Although the water price inflation is significantly below the general inflation, the activities of the antitrust authorities in the area of water supply should tend to lead to a decrease in water prices overall. Nevertheless, the involved party cannot directly pass on general inflation trends, e.g., in wages and salaries as well as in goods and services to be procured, to its customers in the next seven years, so that the waiver of inflation compensation should be regarded as another continuous price reduction.</w:t>
      </w:r>
    </w:p>
    <w:p>
      <w:r>
        <w:rPr>
          <w:b/>
        </w:rPr>
        <w:t>[Pages 10–11]</w:t>
      </w:r>
    </w:p>
    <w:p>
      <w:r>
        <w:t>32. The decision-making department has exercised its discretion granted under § 32b GWB in such a way that it has declared the commitments of the parties to be binding for the following reasons:</w:t>
      </w:r>
    </w:p>
    <w:p>
      <w:r>
        <w:t>33. The price abuse established by the decision-making department based on preliminary assessment, which is unjustified under § 19 Abs. 4 Nr. 2 GWB as well as § 103 Abs. 5 Satz 2 Nr. 2, Abs. 7 in conjunction with § 22 Abs. 5 GWB 1990, is remedied by the commitments with effect for the future. The revenue reduction of approximately 15% offered by the involved party leads to a noticeable financial relief for consumers. Furthermore, the acceptance of the commitments allows for a swift conclusion of the proceedings, thereby creating legal clarity.</w:t>
      </w:r>
    </w:p>
    <w:p>
      <w:r>
        <w:t>34. The decision-making department has taken into account in favor of the involved parties that they have shown great cooperation during the proceedings, which has kept the investigative effort of the Federal Cartel Office within reasonable limits. On the other hand, it could be considered that water customers would benefit from a quick and amicable commitment very soon. A corresponding refund or price reduction order could have only been issued significantly later due to more intensive investigations; further delays due to years of very resource-intensive litigation would have had to be accepted.</w:t>
      </w:r>
    </w:p>
    <w:p>
      <w:r>
        <w:t>35. The reservation of revocation included in paragraph 3 of the decision's tenor serves as a possibility to revoke the declaration of commitment in cases that may not be covered by § 32b Abs. 2 GWB. In light of extraordinary future developments, a modification of the commitment decision is reserved. The Federal Cartel Office considers changes both in favor of and to the detriment of the involved parties equally.</w:t>
      </w:r>
    </w:p>
    <w:p>
      <w:r>
        <w:t>36. Furthermore, the decision-making department states that the present commitment decision is also binding for any potential legal successor of the involved parties.</w:t>
      </w:r>
    </w:p>
    <w:p>
      <w:r>
        <w:t>III. Fees</w:t>
        <w:br/>
        <w:t>[...]</w:t>
        <w:br/>
        <w:t>Legal remedy instruction</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The appeal must be substantiated by a written submission filed with the Federal Cartel Office or the appellate court. The deadline for substantiating the appeal is two months. It begins with the delivery of the contested order and can be extended upon request by the presiding judge of the appellate court. The appeal must contain a statement indicating the extent to which the decision is being contested and the request for its modification or annulment, and must specify the facts and evidence, which may also be new, on which the appeal is based.</w:t>
      </w:r>
    </w:p>
    <w:p>
      <w:r>
        <w:t>The appeal and its justification must be signed by a lawyer. The appeal does not have suspensive effect. Upon request, the appellate court may order the suspensive effect of the appeal in whole or in part.</w:t>
      </w:r>
    </w:p>
    <w:p>
      <w:r>
        <w:t>Dr. Engelsing Schweikardt Bangard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