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http://www.bundeskartellamt.de:80/SharedDocs/Entscheidung/EN/Entscheidungen/Fusionskontrolle/2009/B8-175-08.pdf;jsessionid=2F3288E4E59F2DE3593E3C0423873760.1_cid378?__blob=publicationFile&amp;v=4</w:t>
      </w:r>
    </w:p>
    <w:p>
      <w:r>
        <w:t>Pages translated : 32</w:t>
      </w:r>
    </w:p>
    <w:p/>
    <w:p>
      <w:r>
        <w:rPr>
          <w:b/>
        </w:rPr>
        <w:t>[Pages 1–3]</w:t>
      </w:r>
    </w:p>
    <w:p>
      <w:r>
        <w:t xml:space="preserve">Bundeskartellamt For publication  </w:t>
        <w:br/>
        <w:t xml:space="preserve">8th Decision Division  </w:t>
        <w:br/>
        <w:t xml:space="preserve">Merger control proceedings  </w:t>
        <w:br/>
        <w:t xml:space="preserve">B 8 – 175/08 Decree in accordance with Section 40 (2) of  </w:t>
        <w:br/>
        <w:t xml:space="preserve">the Act Against Restraints of Competition  </w:t>
        <w:br/>
        <w:t xml:space="preserve">This translation is provided for information purposes only.  </w:t>
        <w:br/>
        <w:t xml:space="preserve">Only the German version of the decision is authentic.  </w:t>
        <w:br/>
        <w:t xml:space="preserve">Decision  </w:t>
        <w:br/>
        <w:t xml:space="preserve">In the administrative proceedings against  </w:t>
        <w:br/>
        <w:t xml:space="preserve">1. Total Deutschland GmbH  </w:t>
        <w:br/>
        <w:t xml:space="preserve">Schützenstrasse 25  </w:t>
        <w:br/>
        <w:t xml:space="preserve">10117 Berlin  </w:t>
        <w:br/>
        <w:t xml:space="preserve">and  </w:t>
        <w:br/>
        <w:t xml:space="preserve">2. OMV Deutschland GmbH  </w:t>
        <w:br/>
        <w:t xml:space="preserve">Haiminger Strasse 1  </w:t>
        <w:br/>
        <w:t xml:space="preserve">84489 Burghausen,  </w:t>
        <w:br/>
        <w:t xml:space="preserve">- parties concerned –  </w:t>
        <w:br/>
        <w:t xml:space="preserve">on account of an examination of a concentration according to Section 36 (1) of the Act  </w:t>
        <w:br/>
        <w:t xml:space="preserve">against Restraints of Competition (ARC), the 8th Decision Division of the Bundeskartellamt  </w:t>
        <w:br/>
        <w:t xml:space="preserve">made the following decision on 29 April 2009:  </w:t>
        <w:br/>
        <w:t xml:space="preserve">1. The concentration is prohibited in accordance with Section 40 (2) first sentence ARC.  </w:t>
        <w:br/>
        <w:t xml:space="preserve">2. The fee for this Decision shall be set at [...] euro, taking into account the fee of [...]  </w:t>
        <w:br/>
        <w:t xml:space="preserve">euro to be set separately for notifying the concentration and is imposed on the parties  </w:t>
        <w:br/>
        <w:t>concerned named under 1 and 2 above as joint debtors.</w:t>
      </w:r>
    </w:p>
    <w:p>
      <w:r>
        <w:t xml:space="preserve">- 2 -  </w:t>
        <w:br/>
        <w:t xml:space="preserve">Statement of reasons  </w:t>
        <w:br/>
        <w:t xml:space="preserve">1 Statement of facts  </w:t>
        <w:br/>
        <w:t xml:space="preserve">1.1 Merger project  </w:t>
        <w:br/>
        <w:t xml:space="preserve">1. Total Deutschland GmbH, Berlin (hereinafter: Total) intends to acquire 59 petrol sta-  </w:t>
        <w:br/>
        <w:t xml:space="preserve">tions located in the Federal Länder of Saxony and Thuringia from OMV Deutschland  </w:t>
        <w:br/>
        <w:t xml:space="preserve">GmbH, Burghausen (hereinafter: OMV).  </w:t>
        <w:br/>
        <w:t xml:space="preserve">1.2 Course of proceedings  </w:t>
        <w:br/>
        <w:t xml:space="preserve">2. The merger project was notified in a letter from Total dated 5 December 2008, also on  </w:t>
        <w:br/>
        <w:t xml:space="preserve">behalf of the other parties to the merger, which was received by fax on the same day  </w:t>
        <w:br/>
        <w:t xml:space="preserve">and by post on 9 December 2008. In a letter dated 17 December 2008, the Decision  </w:t>
        <w:br/>
        <w:t xml:space="preserve">Division informed Total that the notification of the concentration did not contain the in-  </w:t>
        <w:br/>
        <w:t xml:space="preserve">formation on market shares in the markets affected by the concentration required ac-  </w:t>
        <w:br/>
        <w:t xml:space="preserve">cording to Section 39 (3) No. 4 ARC and that for this reason the notification was incom-  </w:t>
        <w:br/>
        <w:t xml:space="preserve">plete. In a letter dated 29 December 2008, received by fax on the same day and by  </w:t>
        <w:br/>
        <w:t xml:space="preserve">post on 2 January 2009, Total supplied the missing information.  </w:t>
        <w:br/>
        <w:t xml:space="preserve">3. In a letter dated 23 January 2009, the Decision Division informed Total that the Deci-  </w:t>
        <w:br/>
        <w:t xml:space="preserve">sion Division had initiated the main examination proceedings.  </w:t>
        <w:br/>
        <w:t xml:space="preserve">4. In letters dated 5 March 2009, 13 March 2009, 16 March 2009 and 18 March 2009, the  </w:t>
        <w:br/>
        <w:t xml:space="preserve">Decision Division carried out a market survey and to this end collected company data  </w:t>
        <w:br/>
        <w:t xml:space="preserve">on a total of 413 petrol stations. Data on 298 petrol stations were requested from the oil  </w:t>
        <w:br/>
        <w:t xml:space="preserve">companies, the petrol stations’ parent companies. The other 115 petrol stations were  </w:t>
        <w:br/>
        <w:t xml:space="preserve">called upon to answer the questionnaire individually. While all the oil companies sup-  </w:t>
        <w:br/>
        <w:t xml:space="preserve">plied the data by the deadline, the company data on 13 petrol stations called upon to  </w:t>
        <w:br/>
        <w:t xml:space="preserve">answer the questionnaire individually had to be obtained by means of a formal decision  </w:t>
        <w:br/>
        <w:t xml:space="preserve">requesting information dated 27 March 2009.  </w:t>
        <w:br/>
        <w:t xml:space="preserve">5. In a letter dated 20 April 2009, the Decision Division informed Total and OMV of the  </w:t>
        <w:br/>
        <w:t xml:space="preserve">Decision Division’s preliminary assessment that the concentration would be likely to  </w:t>
        <w:br/>
        <w:t xml:space="preserve">strengthen the joint dominant position of the companies BP/Aral, ConocoPhillips/Jet,  </w:t>
        <w:br/>
        <w:t xml:space="preserve">ExxonMobil/Esso, Shell and Total in the petrol station markets in Chemnitz, Dresden,  </w:t>
        <w:br/>
        <w:t xml:space="preserve">Erfurt and Leipzig and that the Decision Division was intending to prohibit the project. A  </w:t>
        <w:br/>
        <w:t xml:space="preserve">preliminary draft text of the decision was sent to the companies involved with the oppor-  </w:t>
        <w:br/>
        <w:t xml:space="preserve">tunity to make a statement by 28 April 2009. Neither Total nor OMV submitted a state-  </w:t>
        <w:br/>
        <w:t>ment on the preliminary draft text of the decision.</w:t>
      </w:r>
    </w:p>
    <w:p>
      <w:r>
        <w:t xml:space="preserve">- 3 -  </w:t>
        <w:br/>
        <w:t xml:space="preserve">6. In addition, a preliminary draft text of the decision was sent to the Land competition  </w:t>
        <w:br/>
        <w:t xml:space="preserve">authority of Berlin, in the territory of which Total has its registered seat, and to the Land  </w:t>
        <w:br/>
        <w:t xml:space="preserve">competition authority of Bavaria, in the territory of which OMV has its registered seat,  </w:t>
        <w:br/>
        <w:t xml:space="preserve">giving them opportunity to comment in accordance with Section 40 (4) ARC by 28 April  </w:t>
        <w:br/>
        <w:t xml:space="preserve">2009. Neither Land competition authority commented.  </w:t>
        <w:br/>
        <w:t xml:space="preserve">1.3 The companies involved  </w:t>
        <w:br/>
        <w:t xml:space="preserve">1.3.1 Acquiring company  </w:t>
        <w:br/>
        <w:t xml:space="preserve">7. Total is a company operating directly or indirectly in Germany at all levels of the fuel  </w:t>
        <w:br/>
        <w:t xml:space="preserve">sector. With over 1,000 service stations, Total, by its own account, operates the fourth-  </w:t>
        <w:br/>
        <w:t xml:space="preserve">largest petrol station network in Germany. Since the merger of the French groups Total-  </w:t>
        <w:br/>
        <w:t xml:space="preserve">fina and Elf Aquitaine in the year 2000, their German mineral oil subsidiaries (in particu-  </w:t>
        <w:br/>
        <w:t xml:space="preserve">lar Total-Fina and Elf-Minol) as well as the Leuna refinery have come under the um-  </w:t>
        <w:br/>
        <w:t xml:space="preserve">brella of Total. The focus of Total’s domestic activities today still lies in the territory of  </w:t>
        <w:br/>
        <w:t xml:space="preserve">the new Federal Länder on account of Minol, the former state-owned chain of petrol  </w:t>
        <w:br/>
        <w:t xml:space="preserve">stations that controlled the former GDR’s entire tank farm capacity. Total is an affiliate  </w:t>
        <w:br/>
        <w:t xml:space="preserve">of the company group Total S.A., Paris. The Total group’s consolidated turnover in  </w:t>
        <w:br/>
        <w:t xml:space="preserve">2007 was 158.8 billion euro world-wide, [...] euro in the EU and [...] billion euro in Ger-  </w:t>
        <w:br/>
        <w:t xml:space="preserve">many.  </w:t>
        <w:br/>
        <w:t xml:space="preserve">1.3.2 Selling company  </w:t>
        <w:br/>
        <w:t xml:space="preserve">8. OMV is a company operating in Germany directly or indirectly at all levels of the fuel  </w:t>
        <w:br/>
        <w:t xml:space="preserve">sector. OMV is an affiliate of OMV Aktiengesellschaft, Vienna. The OMV Group’s con-  </w:t>
        <w:br/>
        <w:t xml:space="preserve">solidated turnover in 2008 was 25.5 billion euro world-wide.  </w:t>
        <w:br/>
        <w:t xml:space="preserve">1.3.3 Target undertaking of the merger project  </w:t>
        <w:br/>
        <w:t xml:space="preserve">9. Total intends to purchase a total of 59 petrol stations from OMV. All these petrol sta-  </w:t>
        <w:br/>
        <w:t xml:space="preserve">tions are situated in the Federal Länder of Saxony and Thuringia. About half of the pet-  </w:t>
        <w:br/>
        <w:t xml:space="preserve">rol stations are in the large cities of Chemnitz, Dresden, Erfurt and Leipzig; the other  </w:t>
        <w:br/>
        <w:t xml:space="preserve">half are in the rural regions of the above-mentioned Federal Länder. The intended sale  </w:t>
        <w:br/>
        <w:t xml:space="preserve">of the above-mentioned petrol stations would lead to OMV’s complete withdrawal from  </w:t>
        <w:br/>
        <w:t xml:space="preserve">the Federal Länder of Saxony and Thuringia.  </w:t>
        <w:br/>
        <w:t xml:space="preserve">10. According to OMV estimates, the petrol stations affected by the merger project sold  </w:t>
        <w:br/>
        <w:t xml:space="preserve">170.6 million litres of fuel (petrol and diesel) in 2007, equivalent to a sales turnover of  </w:t>
        <w:br/>
        <w:t xml:space="preserve">83.5 million euro (not including value-added tax or energy tax).  </w:t>
        <w:br/>
        <w:t xml:space="preserve">11. The concentration involves the following individual petrol stations of the target under-  </w:t>
        <w:br/>
        <w:t>taking:</w:t>
      </w:r>
    </w:p>
    <w:p>
      <w:r>
        <w:rPr>
          <w:b/>
        </w:rPr>
        <w:t>[Pages 4–6]</w:t>
      </w:r>
    </w:p>
    <w:p>
      <w:r>
        <w:t>- 4 -</w:t>
        <w:br/>
        <w:t>2 Formal conditions for prohibiting a merger</w:t>
        <w:br/>
        <w:t>12. The concentration fulfils the formal conditions for prohibiting a merger of Sections 35 ff. ARC as well as of Section 130 (2) ARC.</w:t>
        <w:br/>
        <w:t>2.1 Scope of Application of the Act against Restraints of Competition</w:t>
        <w:br/>
        <w:t>13. The merger project falls within the scope of application of the Act against Restraints of Competition. The project concerns the operation of petrol stations in Saxony and Thuringia, which means that there is a domestic effect pursuant to Section 130 (2) ARC.</w:t>
        <w:br/>
        <w:t>14. The thresholds of Section 35 (1) ARC are exceeded by the companies involved in the concentration. The de minimis clause of Section 35 (2) no.1 ARC does not apply on account of the participating companies’ turnovers.</w:t>
        <w:br/>
        <w:t>15. The concentration does not fall under the scope of application of the European Community Merger Regulation (ECMR). The thresholds under Article 1 (2) and (3) ECMR are not reached, since, according to Article 5 (2) ECMR, where the concentration consists of the acquisition of parts of an undertaking, only the turnover relating to the parts which are the subject of the concentration shall be taken into account with regard to the seller, and in this case, that amount is less than 100 million euro.</w:t>
        <w:br/>
        <w:t>2.2 Statement of facts concerning the concentration</w:t>
        <w:br/>
        <w:t>16. Total did not provide any specific information in the merger notification as to the form to be taken by the intended acquisition of 59 petrol stations from OMV.</w:t>
        <w:br/>
        <w:t>17. If the concentration includes the acquisition of supply rights, use rights, ownership rights or other rights, it is a concentration as defined in Section 37 (1) no. 2 ARC, according to which acquisition of direct or indirect control by one or several undertakings of the whole or parts of one or more other undertakings constitutes a concentration. Control shall be constituted by rights, contracts or any other means, which, either separately or in combination, and having regard to the considerations of fact or law involved, confer the possibility of exercising decisive influence on an undertaking, in particular through ownership or the right to use all or parts of the assets of the undertaking.</w:t>
        <w:br/>
        <w:t>18. If within the context of the concentration, assets such as buildings, tank technology or land is acquired, the concentration fulfils the conditions for the existence of a concentration of Section 37 (1) no. 1 ARC, according to which acquisition of all or of a substantial part of the assets of another undertaking constitutes a concentration.</w:t>
        <w:br/>
        <w:t>3 Material conditions for prohibiting a concentration</w:t>
        <w:br/>
        <w:t>19. The concentration fulfils the material conditions for prohibition of Section 36 (1) ARC.</w:t>
      </w:r>
    </w:p>
    <w:p>
      <w:r>
        <w:t>- 5 -</w:t>
        <w:br/>
        <w:t>3.1 Definition of the product and geographic market affected</w:t>
        <w:br/>
        <w:t>3.1.1 Definition of the product market</w:t>
        <w:br/>
        <w:t>20. Crude oil is a mixture of hydrocarbons. Processing it always initially leads to the production of the commodities naturally present in crude oil. Thus, during the first treatment process – crude oil distillation – the basic products include naphtha and middle distillates (diesel or light heating oil) and heavy heating oil, the ratio of which is very difficult to change through distillation with the current state of technology (combined production). In refining crude oil, a number of products besides diesel and petrol are produced for chemical reasons, some of which constitute neighbouring markets (e.g. jet fuel, light heating oil, lubricants, liquid gas and others), and some of which relate rather to the area of so-called petrochemicals (e.g. waxes, paraffin, Vaseline, naphtha, bitumen and others). The supply and demand structures of the various product markets vary here, sometimes significantly.</w:t>
        <w:br/>
        <w:t>21. The concentration affects the retail stage of the fuel sector, i.e. fuel sales (petrol and diesel) through petrol stations. The different mineral oil products all derive from the same raw material, but after refinement, they are not usually mutually interchangeable from the point of view of consumers with regard to the intended purpose. Thus, in principle each mineral oil product constitutes a separate product market. Also, upstream market stages (exploration, refining, wholesale trade) are to be differentiated from petrol station sales, the only market affected here.</w:t>
        <w:br/>
        <w:t>22. In Total’s view, the concentration relates to a uniform sales market for the sale of petrol and diesel through street petrol stations. This corresponds to the Decision Division’s previous practice in the proceedings concerning Shell/DEA (file no. B8-120/01) and BP/E.ON (Aral) (file no. B8-130/01), on which decisions were taken a few years ago, as well as to older decisions by the European Commission such as those in the cases of BP/Mobil (Merger Decision No. IV/M.727), Shell UK/Gulf Oil (Merger Decision No. IV/M. 1013) and Exxon/Mobil (Merger Decision No. IV/M. 1383). However, in the Shell/HPV merger proceedings (file no. B8-134/07), the Decision Division already expressed doubts about this practice and the grounds on which it is based.</w:t>
        <w:br/>
        <w:t>23. The Decision Division now presumes that the grounds on which this practice is based are no longer valid and that the view that there is a uniform market for the sale of petrol and diesel appears to be incorrect from the point of view of competition. This is because once a decision has been taken in favour of a particular engine technology (system decision), petrol and diesel are not interchangeable from the point of view of consumers. Even though petrol stations do not supply just one type of fuel, but all supply both petrol and diesel, nonetheless the conditions of competition are not necessarily the same for petrol and diesel and the idea of a product range does not apply to substantiate the argument that there is uniform sales market.</w:t>
        <w:br/>
        <w:t>24. The diagram below illustrates that there was a significant difference between the development of petrol and diesel prices at petrol stations, at least at times. The diagram shows the difference between the prices of petrol and of diesel for 2007 and 2008. Although this difference is almost always positive, i.e. petrol is sold at a higher price than diesel, the amount of the difference varies. At the beginning of 2007, the difference was approximately 15 cents per litre, increasing to more than 25 cents per litre in summer 2007. From summer 2007 to summer 2008, this difference fell successively to approximately 0 cents per litre. In the second half of 2008, the price difference fluctuated from between 0 cents and approximately 10 cents per litre. This development may be explained partly by the fact that there is usually greater demand for middle distillates (heating oil, diesel) in winter than in summer, while the demand for petrol is higher in summer than in winter.</w:t>
        <w:br/>
        <w:t>25. The idea of a product range is also inappropriate for supporting the argument that there is a uniform market for the sale of petrol and diesel as it is based on the presumption that consumers demand not just one but a number of products from the range on offer. The attractiveness of a range thus grows with the breadth of the range. These considerations play no role in the retail sale of fuel, however, as a consumer will always demand either petrol or diesel, but never both products at the same time on account of his initial decision in favour of one system. For this reason, the attractiveness of the product</w:t>
      </w:r>
    </w:p>
    <w:p>
      <w:r>
        <w:rPr>
          <w:b/>
        </w:rPr>
        <w:t>[Pages 7–9]</w:t>
      </w:r>
    </w:p>
    <w:p>
      <w:r>
        <w:t>- 7 -</w:t>
        <w:br/>
        <w:t>product range in the fuel trade does not increase with its breadth. For a consumer of petrol it is irrelevant whether diesel is also available at a particular petrol station alongside the petrol he requires.</w:t>
      </w:r>
    </w:p>
    <w:p>
      <w:r>
        <w:t>26. In its decision in the Totalfina/Elf case (case COMP/M.1628), the European Commission stated that for the wholesale trade in mineral oil products, each individual refinery product (in that case leaded and unleaded petrol, diesel and heating oil) each constituted a separate relevant market that is different from that of the other products.</w:t>
      </w:r>
    </w:p>
    <w:p>
      <w:r>
        <w:t>3.1.2 Definition of the geographic market</w:t>
      </w:r>
    </w:p>
    <w:p>
      <w:r>
        <w:t>27. Also in a geographical respect, consumers’ real alternatives are decisive for assessing competition on the basis of the demand substitutability principle. It must (still) be economically reasonable for them to purchase the products concerned in the area concerned.</w:t>
      </w:r>
    </w:p>
    <w:p>
      <w:r>
        <w:t>28. Accordingly, petrol station fuel markets are to be defined geographically as in no case being larger than Germany. The Decision Division estimates that actual demand behaviour favours a regional view. It can be defined approximately, for example, in terms of distance or of accessibility for motorists in minutes by car. Defining regional markets by distance conforms to recognised practice (cf. Federal Court of Justice, Wirtschaft und Wettbewerb/E DE-R 1301, 1304 Sanacorp/ANZAG; Higher Regional Court Düsseldorf, Wirtschaft und Wettbewerb/E DE-R 1625-1631 GfK Köthen). The point of reference should be an overall economic view of the actual market situation based on the demand side of the market and thus ultimately on the geographic substitution possibilities available to the demander with regard to the economic good concerned.</w:t>
      </w:r>
    </w:p>
    <w:p>
      <w:r>
        <w:t>29. Total favours defining the market as being the whole of Germany. Such a definition is usually substantiated by saying that there is no major regional difference between the conditions of competition and that consumers’ procurement behaviour is homogenous. Moreover, collective reaction by outlets is typical for the petrol station sector. A price impulse is transmitted to neighbouring petrol stations, thus spreading across the whole of the Federal Republic. In the view of the Decision Division, however, the arguments relating to the demand side prevail. According to general experience, it is appropriate to define the markets for fuel sales to final customers in regional terms since experience suggests that petrol station customers meet their fuel needs in a variable circumference around their place of work or residence (concerning the abuse provision of Section 20 (4) second sentence ARC, cf. the Higher Regional Court Düsseldorf, Wirtschaft und Wettbewerb/E DE-R 589-600 Freie Tankstellen [Independent Petrol Stations]).</w:t>
      </w:r>
    </w:p>
    <w:p>
      <w:r>
        <w:t>30. In the present case, it is difficult to define the areas in which it is (still) economically reasonable for motorists to drive to alternative petrol stations. It was not possible for the Decision Division to carry out traffic surveys of customers at the petrol stations concerned here regarding their location-specific demand behaviour on account of the tight merger control deadlines. Also, the sale of fuel at petrol stations, a high-volume everyday business, is largely anonymous, and thus petrol station companies are unable to provide information easily on where their customers come from or on the distance they have travelled to the petrol station.</w:t>
      </w:r>
    </w:p>
    <w:p>
      <w:r>
        <w:t>31. As was already the case in the Shell/HPV proceedings, the Decision Division also prefers the so-called accessibility model in these proceedings, which was developed for land planning purposes by the Federal Office for Building and Regional Planning (BBR). The BBR is a superior federal Authority in the area of operations of the Federal Ministry of Transport, Building and Urban Affairs. It supports the Federal Government in providing expert research-based advice in the policy areas of land planning, urban construction, residential buildings and construction/architecture. The accessibility model can help to ascertain which other petrol stations can be reached from a particular target petrol station within certain travel times by car, based on the actual situation in the local road infrastructure. Starting from each of the petrol stations affected by the concentration, the Decision Division asked the BBR to use this method to ascertain which petrol stations could be reached within a certain travel time in each case. This makes it possible to show which other petrol stations a motorist can actually reach by car within certain travel times from each of the petrol stations affected by the concentration.</w:t>
      </w:r>
    </w:p>
    <w:p>
      <w:r>
        <w:t>32. The present case has the special feature that it concerns petrol stations in regions of low population and infrastructure density on the one hand (rural areas), and petrol stations in areas of high population and infrastructure density on the other (urban areas). For reasons of procedural economy, the Decision Division decided to examine only the conditions of competition in the urban areas affected by the concentration. The Decision Division considers a maximum journey time of 30 minutes to be acceptable, the estimated value already used in the Shell/HPV case, and defines the urban regions concerned accordingly.</w:t>
      </w:r>
    </w:p>
    <w:p>
      <w:r>
        <w:t>33. The present case has a further special feature, which is that the concentration involves the acquisition of a large number of petrol station businesses. The accessibility model first used in the Shell/HPV proceedings defines the geographic market around each individual petrol station. In the present case, this would mean that a total of twelve markets were to be defined in the Chemnitz region, a total of eight markets in the Dresden region, a total of six markets in the Erfurt region and a total of nine markets in the Leipzig region. In each of the four regions, there would be large overlaps between the individual market areas if each were to be defined around one petrol station. The Decision Division therefore considers it to be appropriate to define just one joint geographic market around a central location in each of the above-mentioned four regions, covering all the target petrol stations in the region. Specifically, the Decision Division has therefore defined the regional markets as being Chemnitz, Dresden, Erfurt and Leipzig.</w:t>
      </w:r>
    </w:p>
    <w:p>
      <w:r>
        <w:t>34. As a further development of the accessibility model, the Decision Division has made another modification of the model. The starting point of this modification is that the objective of defining the geographic market is to be seen in approximating as accurately as possible the regional market circumstances in accordance with the alternatives that actually exist for motorists. The petrol stations within a geographic market are not seen as equal alternatives by the demand side, however. Even when using an accessibility model with a maximum travel time of 30 minutes, a motorist will tend to choose a closer rather than a more distant alternative, all other things being equal. Also, when there are price differences, a motorist will purchase fuel at a more expensive petrol station if the costs (actual travel expenses and opportunity cost of time) required to reach a cheaper petrol station are higher than the price difference. Thus, the Decision Division decided to weight the individual petrol stations within a geographic market comprising all the petrol stations that can be reached within 30 minutes on the basis of the distance to the centre of the geographic market. This enables the different intensity of competition resulting from the fact that the petrol stations are at different distances to be represented. Specifically, in calculating market shares, the sales data of petrol stations that can be reached from the centre of the geographic market within five minutes are multiplied by a factor of 4, petrol stations between five and ten minutes away are multiplied by a factor of 3, petrol stations between ten and 20 minutes away are multiplied by a factor of 2 and petrol stations between 20 and 30 minutes away are multiplied by a factor of 1. Although the selection of weights is ultimately arbitrary, the specific weights have hardly any effect on the market shares as long as the weights decrease as the distance increases. Nevertheless, the unweighted market shares are also given for comparison in each case.</w:t>
      </w:r>
    </w:p>
    <w:p>
      <w:r>
        <w:t>3.2 Existing dominant position in the affected markets</w:t>
      </w:r>
    </w:p>
    <w:p>
      <w:r>
        <w:t>35. A dominant position by a number of undertakings exists according to Section 19 (2) second sentence ARC when firstly no substantial competition exists between the oligopolists (internal competition) and secondly the oligopolists have a paramount market position vis-à-vis competitors and are not exposed to any substantial competition.</w:t>
      </w:r>
    </w:p>
    <w:p>
      <w:r>
        <w:t>36. Joint market dominance does not necessarily mean that the oligopoly members collude by making anticompetitive agreements within the meaning of Article 81 EC and Section 1 ARC. Rather, a joint dominant position within the meaning of Section 19 (2) and (3) ARC can also lie in the fact that the oligopoly members are tacitly essentially satisfied.</w:t>
      </w:r>
    </w:p>
    <w:p>
      <w:r>
        <w:rPr>
          <w:b/>
        </w:rPr>
        <w:t>[Pages 10–12]</w:t>
      </w:r>
    </w:p>
    <w:p>
      <w:r>
        <w:t>- 10 -</w:t>
        <w:br/>
        <w:t>with the market shares they have reached, without there being any effective internal competition between them anymore and without any external competition or the demand side threatening the success of such limited competitive conduct on the part of the oligopolists. According to the economic aspects summarised to this end by the Court of First Instance of the European Communities in the Airtours judgment (judgment of 6 June 2002, file no. T-342/99), the affected market must firstly be so transparent that the oligopolists can sufficiently recognise whether their tacit coordination is being maintained. Secondly, there must be a kind of deterrent mechanism against deviations from the joint approach for reasons of discipline. Thirdly, the reactions of undertakings not taking part in the coordination, such as current or potential competitors, or the reactions of customers should not call into question the likely effect of the coordination.</w:t>
      </w:r>
    </w:p>
    <w:p>
      <w:r>
        <w:t>37. The Bundeskartellamt has applied the criteria presented above to establish the existence of joint dominance in a number of decisions. Most recently, the Federal Court of Justice explicitly confirmed this practical application in its decision in the E.ON/Stadtwerke Eschwege case (cf. Federal Court of Justice, decision of 11 November 2008, file no. KVR 60/07, Zeitschrift für Neues Energierecht (NER) 2008, p. 357 ff, particularly p. 360). According to this decision, the features determining the market structure are of special significance within the context of the required overall assessment. Overall, it should be examined whether the market structure provides an incentive not to deviate from the joint approach and whether long-term uniform conduct by the oligopolists is therefore likely. Key indicators of implicit collusion here are market transparency and a deterrent mechanism against deviations from joint conduct.</w:t>
      </w:r>
    </w:p>
    <w:p>
      <w:r>
        <w:t>38. The framework conditions existing in the mineral oil sector favour oligopolistic tendencies. Thus, the integrated oil companies trade homogenous goods in transparent markets with a shrinking overall demand. As a result, there is comparatively little scope for applying competitive parameters in the markets for fuel sales through petrol stations. At the same time, whether and to what extent an undertaking has competitive influence in upstream procurement markets gains significance for entrepreneurial success.</w:t>
      </w:r>
    </w:p>
    <w:p>
      <w:r>
        <w:t>39. The Decision Division considers the undertakings BP/Aral, ConocoPhillips/Jet, ExxonMobil/Esso, Shell and Total to be joint dominant undertakings in fuel retailing through petrol stations. The dominant undertakings are all oil companies that are integrated across all levels of the mineral oil sector. Thus, they operate not only in retailing, but also in the procurement markets – both in the wholesale trade and in production – and also in the transport sector. Particularly these upstream markets are characterised by structural features that have a significantly restraining effect on internal and external competition in general and thus also on the final consumer markets of interest here, on the one hand in opening up great retaliatory potential and on the other hand in creating a paramount market position of the dominant undertakings.</w:t>
      </w:r>
    </w:p>
    <w:p>
      <w:r>
        <w:t>3.2.1 Structural conditions</w:t>
        <w:br/>
        <w:t>3.2.1.1 Market shares</w:t>
        <w:br/>
        <w:t>40. Fuel suppliers in Germany cannot increase their market shares through participating in a growing market, but only through attracting customers from their competitors or through external growth. This is because domestic fuel sales by street petrol stations are stagnating in spite of increasing numbers of motor vehicle registrations. In 2008, fuel sales amounted to some 20.6 million tonnes of petrol and some 30.1 million tonnes of diesel. While petrol sales declined by 3.4% on the previous year, diesel sales increased by 3.4% (cf. Schiffer, Deutscher Energiemarkt 2008, in: Energiewirtschaftliche Tagesfragen 59, 2009). By 2025, the mineral oil sector is expecting a decline in fuel sales of 25%, and in petrol sales of as much as 40%. The reasons for the falling demand are generally believed to be changed driving habits in connection with a general increase in the fuel price level as well as technical innovations in the automotive industry and the resulting greater efficiency of combustion engines. However, near the German borders, factors such as so-called fill-up tourism may play a role, with motorists benefiting from comparatively low fuel taxation by filling up their vehicles in neighbouring countries.</w:t>
      </w:r>
    </w:p>
    <w:p>
      <w:r>
        <w:t>41. The leading suppliers of fuel via petrol stations operating in Germany are international groups of undertakings such as BP/Aral, Shell, ExxonMobil/Esso, ConocoPhillips and Total, among others. To an overwhelming extent, they are vertically integrated across the levels of the value chain (extraction, transport and refinement of crude oil and sale of the mineral oil products obtained from it). There are also a number of smaller group-bound suppliers (Agip, OMV, Orlen, Q1, OIL! and others), which have already been operating in Germany since the early 1960s (Agip) or which only started to operate in Germany for the first time after 2001 in the wake of petrol station sales in accordance with the conditions and obligations to divest petrol stations, subject to which clearance was granted in the large merger cases BP/E.ON (Aral) and Shell/DEA (OMV and Orlen). There are also a large number of small and micro enterprises which operate only at the retail level. Many small and medium-sized operators in particular are not group-bound, but are so-called independent petrol stations, operating only as fuel retailers in the street petrol station sector or in the adjacent heating oil market. Some larger regional medium-sized enterprises have joined forces under the brand and purchasing syndicate AVIA, while a large number of independent undertakings use the joint brand of the Federal Association of Independent Petrol Stations (Bundesverband Freier Tankstellen e.V. - bft).</w:t>
      </w:r>
    </w:p>
    <w:p>
      <w:r>
        <w:t>42. The Decision Division collected data on the four markets affected by the concentration for the years from 2006 to 2008, on the basis of which the market shares were calculated. Although both sales volumes in physical terms and turnover figures in terms of sales value (in euros) were collected for each individual petrol station in the relevant geographic market, it is sufficient to calculate the market shares solely on the basis of the physical sales volumes. This is because in evaluating the market data collected, it has emerged that for various reasons the data quality of the turnover figures is poorer and less reliable than the data quality of the physical sales volumes. However, it may be assumed on account of what are at most minimal differences in the retail price that there will be very little difference between the market shares calculated on the basis of the sales volumes and on the basis of the turnover figures. Where undertakings were unable to supply up-to-date data for 2008, the sales figures for 2007 were also used as the basis for 2008 for this undertaking.</w:t>
      </w:r>
    </w:p>
    <w:p>
      <w:r>
        <w:t>43. The market surveys showed that a number of independent petrol stations have concluded branded reseller agreements or agency contracts with oil companies and (at least to some extent) sell fuel on behalf of this company and/or on its account. It is frequently not even evident to motorists that a petrol station is an independent petrol station, as the petrol station displays the name of the oil company and not “Independent Petrol Station”. The market surveys also showed that some petrol station companies that present themselves externally as independent petrol stations (for example supermarket petrol stations) are subsidiaries of the large oil companies. The Decision Division therefore based its attribution of sales volumes on the criterion of who was responsible for setting prices, i.e. it is not decisive which brand name is displayed in a petrol station’s external presentation, but rather who determines the fuel price of the petrol station concerned.</w:t>
      </w:r>
    </w:p>
    <w:p>
      <w:r>
        <w:t>44. Data on a total of 104 petrol station companies were collected in the Chemnitz regional market. The physical market volume in this regional market in the years from 2006 to 2008 was between 210 and 230 million litres of petrol and between 185 and 200 million litres of diesel. The following table summarises the physical market shares in the years from 2006 to 2008, whereby the sales figures – as already explained in the definition of the product market – are weighted according to the distance of the respective petrol station from the centre of the regional market.</w:t>
        <w:br/>
        <w:t>Market shares in 2006 2007 2008</w:t>
      </w:r>
    </w:p>
    <w:p>
      <w:r>
        <w:rPr>
          <w:b/>
        </w:rPr>
        <w:t>[Pages 13–15]</w:t>
      </w:r>
    </w:p>
    <w:p>
      <w:r>
        <w:t>- 13 -</w:t>
        <w:br/>
        <w:t>Chemnitz</w:t>
        <w:br/>
        <w:t>OK DK OK OK DK OK</w:t>
        <w:br/>
        <w:t>Aral [...] [...] [...] [...] [...] [...]</w:t>
        <w:br/>
        <w:t>Esso [...] [...] [...] [...] [...] [...]</w:t>
        <w:br/>
        <w:t>Jet [...] [...] [...] [...] [...] [...]</w:t>
        <w:br/>
        <w:t>Shell [...] [...] [...] [...] [...] [...]</w:t>
        <w:br/>
        <w:t>Total [10%-15%] [10%-15%] [10%-15%] [10%-15%] [10%-15%] [10%-15%]</w:t>
        <w:br/>
        <w:t>Total of the oligopoly 65% 71% 64% 65% 71% 64%</w:t>
        <w:br/>
        <w:t>OMV [10%-15%] [7%-12%] [10%-15%] [10%-15%] [7%-12%] [10%-15%]</w:t>
        <w:br/>
        <w:t>Independent petrol</w:t>
        <w:br/>
        <w:t>stations 7% 6% 7% 7% 6% 7%</w:t>
        <w:br/>
        <w:t>Other petrol stations [13%-18%] [11%-16%] [14%-19%] [13%-18%] [11%-16%] [14%-19%]</w:t>
        <w:br/>
        <w:t>The market share of the five undertakings BP/Aral, ConocoPhillips/Jet, ExxonMobil/Esso, Shell and Total, which hold a joint dominant position in the relevant market, was 64% of petrol and 70% of diesel last year. No substantial competitive advances are evident within the oligopoly group, objectifiable on the basis of shifts in market share. As well as the five oligopolists, OMV, with a double-digit market share, is also present in the relevant markets. In addition, there are more than ten independent petrol stations in the Chemnitz regional market (referred to collectively as “independent petrol stations“) as well as other petrol stations of the Agip, Avia, BayWa, Go, Q1, Star and TamOil/HEM brands. The individual market shares of these undertakings are all in the low single digits.</w:t>
        <w:br/>
        <w:t>45. The picture is no different when an alternative calculation of market shares without weighting the sales volumes. The table below summarises the unweighted market shares for the years from 2006 to 2008.</w:t>
        <w:br/>
        <w:t>Market shares in</w:t>
        <w:br/>
        <w:t>Chemnitz 2006 2007 2008</w:t>
        <w:br/>
        <w:t>OK DK OK DK OK DK</w:t>
        <w:br/>
        <w:t>Aral [...] [...] [...] [...] [...] [...]</w:t>
        <w:br/>
        <w:t>Esso [...] [...] [...] [...] [...] [...]</w:t>
        <w:br/>
        <w:t>Jet [...] [...] [...] [...] [...] [...]</w:t>
        <w:br/>
        <w:t>Shell [...] [...] [...] [...] [...] [...]</w:t>
        <w:br/>
        <w:t>Total [12%-17%] [12%-17%] [12%-17%] [12%-17%] [12%-17%] [12%-17%]</w:t>
      </w:r>
    </w:p>
    <w:p>
      <w:r>
        <w:t>- 14 -</w:t>
        <w:br/>
        <w:t>Total of the oligopoly 67% 73% 66% 72% 66% 72%</w:t>
        <w:br/>
        <w:t>OMV [10%-15%] [5%-10%] [10%-15%] [5%-10%] [10%-15%] [5%-10%]</w:t>
        <w:br/>
        <w:t>Independent petrol</w:t>
        <w:br/>
        <w:t>stations 6% 6% 7% 7% 6% 7%</w:t>
        <w:br/>
        <w:t>Other petrol stations [12%-17%] [11%-16%] [12%-17%] [11%-16%] [13%-18%] [11%-16%]</w:t>
        <w:br/>
        <w:t>The market shares calculated on the basis of unweighted sales volumes are slightly higher than the market shares calculated on the basis of weighted sales volumes.</w:t>
        <w:br/>
        <w:t>46. Data on a total of 86 petrol stations were collected in the Dresden regional market. The physical market volume in this regional market for the years from 2006 to 2008 was between 195 and 215 million litres of petrol and between 180 and 195 million litres of diesel. The following table contains the market shares for the years from 2006 to 2008, with the sales volumes weighted here according to distance:</w:t>
        <w:br/>
        <w:t>Market shares in</w:t>
        <w:br/>
        <w:t>Dresden 2006 2007 2008</w:t>
        <w:br/>
        <w:t>OK DK OK DK OK DK</w:t>
        <w:br/>
        <w:t>Aral [...] [...] [...] [...] [...] [...]</w:t>
        <w:br/>
        <w:t>Esso [...] [...] [...] [...] [...] [...]</w:t>
        <w:br/>
        <w:t>Jet [...] [...] [...] [...] [...] [...]</w:t>
        <w:br/>
        <w:t>Shell [...] [...] [...] [...] [...] [...]</w:t>
        <w:br/>
        <w:t>Total [17%-22%] [15%-20%] [17%-22%] [15%-20%] [17%-22%] [15%-20%]</w:t>
        <w:br/>
        <w:t>Total of the oligopoly 71% 78% 71% 76% 70% 76%</w:t>
        <w:br/>
        <w:t>OMV [4%-9%] [4%-9%] [4%-9%] [4%-9%] [4%-9%] [4%-9%]</w:t>
        <w:br/>
        <w:t>Independent petrol</w:t>
        <w:br/>
        <w:t>stations 6% 4% 6% 5% 6% 4%</w:t>
        <w:br/>
        <w:t>Other petrol stations: [14%-19%] [9%-14%] [14%-19%] [10%-15%] [15%-20%] [11%-16%]</w:t>
        <w:br/>
        <w:t>The market share of the five undertakings BP/Aral, ConocoPhillips/Jet, ExxonMobil/Esso, Shell and Total, which hold a joint dominant position in the relevant market, was 70% of petrol and as much as 76% of diesel last year. No substantial competitive advances are evident within the oligopoly group, objectifiable by means of shifts in market share. As well as the five oligopolists, OMV is also present in the relevant markets. In addition, there are more than five independent petrol stations in the Dresden regional market (hereinafter referred to collectively as “independent petrol stations“) as well as other petrol stations of the Agip, Go, Oil! and Star brands. The individual market shares of these undertakings are, with one exception, all in the low single digits.</w:t>
        <w:br/>
        <w:t>47. The picture is no different when making an alternative calculation of market shares without weighting the sales volumes. The table below summarises the unweighted market shares for 2006 to 2008.</w:t>
        <w:br/>
        <w:t>Market shares in</w:t>
        <w:br/>
        <w:t>Dresden 2006 2007 2008</w:t>
        <w:br/>
        <w:t>Unweighted OK DK OK DK OK DK</w:t>
        <w:br/>
        <w:t>Aral [...] [...] [...] [...] [...] [...]</w:t>
        <w:br/>
        <w:t>Esso [...] [...] [...] [...] [...] [...]</w:t>
        <w:br/>
        <w:t>Jet [...] [...] [...] [...] [...] [...]</w:t>
        <w:br/>
        <w:t>Shell [...] [...] [...] [...] [...] [...]</w:t>
        <w:br/>
        <w:t>Total [20%-25%] [15%-20%] [20%-25%] [15%-20%] [20%-25%] [15%-20%]</w:t>
        <w:br/>
        <w:t>Total of the oligopoly 72% 80% 72% 78% 70% 79%</w:t>
        <w:br/>
        <w:t>OMV [4%-9%] [4%-9%] [4%-9%] [4%-9%] [4%-9%] [4%-9%]</w:t>
        <w:br/>
        <w:t>Independent petrol</w:t>
        <w:br/>
        <w:t>stations 7% 5% 7% 6% 7% 4%</w:t>
        <w:br/>
        <w:t>Other petrol stations: [12%-17%] [6%-11%] [12%-17%] [7%-12%] [14%-19%] [8%-13%]</w:t>
        <w:br/>
        <w:t>48. Data on a total of 75 petrol stations were collected in the Erfurt regional market. The physical market volume in this regional market for the years from 2006 to 2008 was between 150 and 170 million litres of petrol and between 155 and 175 litres of diesel. The following table contains the market shares for the years from 2006 to 2008, with the sales volumes weighted according to distance:</w:t>
        <w:br/>
        <w:t>Market shares in Erfurt 2006 2007 2008</w:t>
        <w:br/>
        <w:t>Weighted OK DK OK DK OK DK</w:t>
        <w:br/>
        <w:t>Aral [...] [...] [...] [...] [...] [...]</w:t>
        <w:br/>
        <w:t>Esso [...] [...] [...] [...] [...] [...]</w:t>
        <w:br/>
        <w:t>Jet [...] [...] [...] [...] [...] [...]</w:t>
        <w:br/>
        <w:t>Shell [...] [...] [...] [...] [...] [...]</w:t>
        <w:br/>
        <w:t>Total [18%-23%] [18%-23%] [18%-23%] [18%-23%] [18%-23%] [18%-23%]</w:t>
        <w:br/>
        <w:t>Total of the oligopoly 64% 74% 61% 71% 60% 70%</w:t>
      </w:r>
    </w:p>
    <w:p>
      <w:r>
        <w:rPr>
          <w:b/>
        </w:rPr>
        <w:t>[Pages 16–18]</w:t>
      </w:r>
    </w:p>
    <w:p>
      <w:r>
        <w:t>- 16 -</w:t>
        <w:br/>
        <w:t xml:space="preserve">OMV [7%-12%] [5%-10%] [7%-12%] [5%-10%] [7%-12%] [5%-10%]  </w:t>
        <w:br/>
        <w:t xml:space="preserve">Independent petrol stations 18% 10% 19% 10% 20% 10%  </w:t>
        <w:br/>
        <w:t xml:space="preserve">Other petrol stations: [6%-11%] [6%-11%] [8%-13%] [9%-14%] [8%-13%] [10%-15%]  </w:t>
        <w:br/>
        <w:t xml:space="preserve">The market share of the five undertakings BP/Aral, ConocoPhillips/Jet, ExxonMobil/Esso, Shell and Total, which hold a joint dominant position in the relevant market, was 60% of petrol and 70% of diesel last year. No substantial competitive advances, objectifiable by means of shifts in market share, are evident within the oligopoly group. As well as the five oligopolists, OMV is also present in the relevant markets with a not inconsiderable market share. In addition, there are more than ten independent petrol stations in the Erfurt regional market (hereinafter referred to collectively as “independent petrol stations“) as well as other petrol stations of the Avia, Go, Oil!, Star and Tamoil/HEM brands. The individual market shares of these undertakings are all in the low single digits. The large market share of the independent petrol stations is largely due to the existence of a number of supermarket petrol stations.  </w:t>
        <w:br/>
        <w:t xml:space="preserve">49. The picture is no different when making an alternative calculation of market shares without weighting the sales volumes. The table below summarises the unweighted market shares for the years from 2006 to 2008.  </w:t>
        <w:br/>
        <w:t xml:space="preserve">Market shares in Erfurt 2006 2007 2008  </w:t>
        <w:br/>
        <w:t xml:space="preserve">Unweighted OK DK OK DK OK DK  </w:t>
        <w:br/>
        <w:t xml:space="preserve">Aral [...] [...] [...] [...] [...] [...]  </w:t>
        <w:br/>
        <w:t xml:space="preserve">Esso [...] [...] [...] [...] [...] [...]  </w:t>
        <w:br/>
        <w:t xml:space="preserve">Jet [...] [...] [...] [...] [...] [...]  </w:t>
        <w:br/>
        <w:t xml:space="preserve">Shell [...] [...] [...] [...] [...] [...]  </w:t>
        <w:br/>
        <w:t xml:space="preserve">Total [15%-20%] [15%-20%] [15%-20%] [15%-20%] [15%-20%] [15%-20%]  </w:t>
        <w:br/>
        <w:t xml:space="preserve">Total for the oligopoly 59% 69% 57% 68% 56% 67%  </w:t>
        <w:br/>
        <w:t xml:space="preserve">OMV [5%-10%] [5%-10%] [5%-10%] [5%-10%] [5%-10%] [5%-10%]  </w:t>
        <w:br/>
        <w:t xml:space="preserve">Independent petrol stations 20% 10% 21% 11% 22% 11%  </w:t>
        <w:br/>
        <w:t>Other petrol stations: [11%-16%] [11%-16%] [12%-17%] [11%-16%] [12%-17%] [12%-17%]</w:t>
      </w:r>
    </w:p>
    <w:p>
      <w:r>
        <w:t xml:space="preserve">- 17 -  </w:t>
        <w:br/>
        <w:t xml:space="preserve">50. Data on a total of 75 petrol stations were collected in the Leipzig regional market. The physical market volume in this regional market for the years from 2006 to 2008 was between 205 and 220 million litres of petrol and between 170 and 190 litres of diesel. The table below contains the market shares for the years from 2006 to 2008, with the sales figures weighted according to distance, as explained in the definition of the product market above:  </w:t>
        <w:br/>
        <w:t xml:space="preserve">Market shares in Leipzig 2006 2007 2008  </w:t>
        <w:br/>
        <w:t xml:space="preserve">Weighted OK DK OK DK OK DK  </w:t>
        <w:br/>
        <w:t xml:space="preserve">Aral [...] [...] [...] [...] [...] [...]  </w:t>
        <w:br/>
        <w:t xml:space="preserve">Esso [...] [...] [...] [...] [...] [...]  </w:t>
        <w:br/>
        <w:t xml:space="preserve">Jet [...] [...] [...] [...] [...] [...]  </w:t>
        <w:br/>
        <w:t xml:space="preserve">Shell [...] [...] [...] [...] [...] [...]  </w:t>
        <w:br/>
        <w:t xml:space="preserve">Total [17%-22%] [17%-22%] [17%-22%] [17%-22%] [17%-22%] [17%-22%]  </w:t>
        <w:br/>
        <w:t xml:space="preserve">Total of the oligopoly 63% 72% 63% 71% 61% 70%  </w:t>
        <w:br/>
        <w:t xml:space="preserve">OMV [7%-12%] [7%-12%] [7%-12%] [7%-12%] [7%-12%] [7%-12%]  </w:t>
        <w:br/>
        <w:t xml:space="preserve">Independent petrol stations 6% 3% 6% 2% 7% 3%  </w:t>
        <w:br/>
        <w:t xml:space="preserve">Other petrol stations [19%-24%] [13%-18%] [19%-24%] [15%-20%] [20%-25%] [15%-20%]  </w:t>
        <w:br/>
        <w:t xml:space="preserve">The market share of the five undertakings BP/Aral, ConocoPhillips/Jet, ExxonMobil/Esso, Shell and Total, which hold a joint dominant position in the relevant market, was 61% of petrol and 70% of diesel last year. However, the market share indicated for Total – and thus also the oligopoly’s market share – is too low, since two Total petrol stations were not included in the market survey. Firstly, no sales data are available for the petrol station operating in Leipzig under the “Minol” brand name, but which is to be regarded as being a Total company. Secondly, Total opened a new off-motorway service area on the B9 federal road near the Leuna refinery in early 2009, which is to be regarded as being within the Leipzig regional market. Current sales figures or future sales forecasts are also unavailable for this service area. No substantial competitive advances, objectifiable by means of shifts in market share, are evident within the oligopoly group. As well as the five oligopolists, OMV is also present in the relevant markets with a not inconsiderable market share. In addition, there are more than five independent petrol stations in the Leipzig regional market (hereinafter referred to collectively as “independent petrol stations“) as well as other petrol stations of the Avia, Go, Q1, Star and Tamoil/HEM brands. The individual market shares of these undertakings are, with one exception, all in the low single digits.  </w:t>
        <w:br/>
        <w:t xml:space="preserve">51. The picture is no different when making an alternative calculation of market shares without weighting the sales volumes. The table below summarises the unweighted market shares for the years from 2006 to 2008.  </w:t>
        <w:br/>
        <w:t xml:space="preserve">Market shares in Leipzig 2006 2007 2008  </w:t>
        <w:br/>
        <w:t xml:space="preserve">Unweighted OK DK OK DK OK DK  </w:t>
        <w:br/>
        <w:t xml:space="preserve">Aral [...] [...] [...] [...] [...] [...]  </w:t>
        <w:br/>
        <w:t xml:space="preserve">Esso [...] [...] [...] [...] [...] [...]  </w:t>
        <w:br/>
        <w:t xml:space="preserve">Jet [...] [...] [...] [...] [...] [...]  </w:t>
        <w:br/>
        <w:t xml:space="preserve">Shell [...] [...] [...] [...] [...] [...]  </w:t>
        <w:br/>
        <w:t xml:space="preserve">Total [15%-20%] [15%-20%] [15%-20%] [15%-20%] [15%-20%] [15%-20%]  </w:t>
        <w:br/>
        <w:t xml:space="preserve">Total of the oligopoly 63% 72% 64% 72% 62% 70%  </w:t>
        <w:br/>
        <w:t xml:space="preserve">OMV [7%-12%] [5%-10%] [7%-12%] [5%-10%] [7%-12%] [5%-10%]  </w:t>
        <w:br/>
        <w:t xml:space="preserve">Independent petrol stations 6% 3% 6% 3% 8% 3%  </w:t>
        <w:br/>
        <w:t xml:space="preserve">Other petrol stations: [19%-24%] [15%-20%] [18%-23%] [15%-20%] [18%-23%] [17%-22%]  </w:t>
        <w:br/>
        <w:t xml:space="preserve">52. The oligopoly members have maintained a consistently large market share of fuel sales through petrol stations, with a joint total of more than 60% and more than 70% in some cases. In view of this, it should not be overlooked that large market shares, especially when they remain unchallenged over a number of years, as is the case here, are a particularly clear and significant indication from the point of view of competition law that oligopoly members’ scope for action is no longer sufficiently controlled by competition. This is because the unchallenged existence of a large market share over a number of years suggests that other possibly opposing factors are of no major significance.  </w:t>
        <w:br/>
        <w:t xml:space="preserve">3.2.1.2 Market transparency  </w:t>
        <w:br/>
        <w:t>53. The market for the sale of fuels through petrol stations is not only extremely concentrated on the supply side; it is also considered to be very transparent. On account of the</w:t>
      </w:r>
    </w:p>
    <w:p>
      <w:r>
        <w:rPr>
          <w:b/>
        </w:rPr>
        <w:t>[Pages 19–21]</w:t>
      </w:r>
    </w:p>
    <w:p>
      <w:r>
        <w:t>- 19 -</w:t>
        <w:br/>
        <w:t>high degree of concentration, this transparency is of particular benefit to the integrated mineral oil suppliers.</w:t>
      </w:r>
    </w:p>
    <w:p>
      <w:r>
        <w:t>54. According to Section 8 of the Price Indication Ordinance (Preisangabenverordnung), the prices of fuel at street petrol stations are to be indicated so that they are clearly legible to motorists approaching from the road. However, transparency in the petrol station fuel market is extremely asymmetrical, even though the display on so-called monolith signs enables both motorists and competitors to find out the prices currently being charged at a particular petrol station, which are de facto not individually negotiable. This is because this only gives individual motorists a first impression, but not a survey of the prices of alternative petrol stations he can reach economically and within a reasonable time. To obtain this information, motorists generally would have to expend considerable searching costs, involving either costs in terms of time and fuel in driving to all the possible petrol stations or in terms of internet research. However, price quotations on the internet make no claim to being either up to date or complete and cannot be obtained automatically or evaluated using navigation systems. Some oil companies and other bodies (e.g. automobile associations) provide some petrol station prices on the internet, but prevent their being searched automatically by motorists or third parties. The major suppliers obtain a constantly updated survey of their competitors’ price quotations, however. According to information from the oil companies, their petrol station staff collect these data several times each day and put it into data processing systems decentrally. Electronic aggregation and evaluation of these data give undertakings an edge on information, supplemented by the use of other sources (sector information systems, production data and wholesale price quotations).</w:t>
      </w:r>
    </w:p>
    <w:p>
      <w:r>
        <w:t>3.2.1.3 Product homogeneity and price elasticity</w:t>
        <w:br/>
        <w:t>55. Both petrol and diesel have a high level of product homogeneity. Apart from differences in the additives which the oil companies mix with the fuels after refinement in order to give the fuel certain qualities, the fuels supplied at petrol stations are identical.</w:t>
      </w:r>
    </w:p>
    <w:p>
      <w:r>
        <w:t>56. A high level of product homogeneity generally implies that price is regarded as playing an important or very important competitive role in the petrol station business. The petrol station companies surveyed in connection with the Shell/HPV merger proceedings indicated that they consider the price to play an important or very important role in competition in the petrol station sector. The undertakings substantiated this by stating that there was high level of price sensibility on the part of consumers. All the suppliers are aware of the price sensibility of consumers and consumer behaviour is therefore predictable to a certain extent. In this context, it is remarkable that the oil companies do not advertise their fuels by reference to price although they themselves state that price is an important competitive parameter. Rather, the marketing has always referred mainly to supposed or actual quality features. Only ConocoPhillips has for some time been advertising explicitly that it generally sells its fuels at its Jet petrol stations more cheaply than other brand-name companies. In addition, suppliers attempt to win motorists’ loyalty through special programmes, including discount and bonus schemes as well as loyalty cards.</w:t>
      </w:r>
    </w:p>
    <w:p>
      <w:r>
        <w:t>57. The price elasticity of demand is regularly assessed by experts as being very small, at least when taking a short-term perspective, i.e. when the decision for a system has been taken (cf. Erdmann/Zweifel, Energieökonomik, 2008, p. 103 ff.). Empirical studies can confirm this assessment, at least for the American market (cf. Hughes/Knittel/Sperling, Evidence of a Shift in the Short-Run Price Elasticity of Gasoline Demand, The Energy Journal 2008, and the studies quoted there).</w:t>
      </w:r>
    </w:p>
    <w:p>
      <w:r>
        <w:t>3.2.1.4 Frequency of interaction</w:t>
        <w:br/>
        <w:t>58. Petrol station operators are in constant interaction with other petrol station operators in the relevant market. Interaction not only includes decisions on price and price changes, but also constant observation of the price situation at other petrol stations.</w:t>
      </w:r>
    </w:p>
    <w:p>
      <w:r>
        <w:t>59. On account of the frequent interaction and high level of transparency, price-setting patterns have developed in the course of time, which are regularly implemented by petrol station operators. These price-setting patterns have emerged both on a weekly basis (particularly with high prices on Fridays and falling prices on Saturdays) and on a seasonal basis (higher prices at the beginning of the holiday period or before public holidays) and are used by petrol station undertakings accordingly, without the need for collusion or coordination.</w:t>
      </w:r>
    </w:p>
    <w:p>
      <w:r>
        <w:t>60. These price-setting patterns are not evidence of lively competition on price, but are rather an expression of largely uniform price-setting conduct, at least of the oligopoly suppliers. The Decision Division does not share the view that the fuel retail trade is determined by international crude oil and product markets. Wholesale price listings for crude oil and products in spot markets, e.g. in Rotterdam, by no means indicate that there is no longer any scope for competition on retail price. That would require suppliers operating at the retail level to have completely identical costs and margins.</w:t>
      </w:r>
    </w:p>
    <w:p>
      <w:r>
        <w:t>3.2.1.5 Product innovations</w:t>
        <w:br/>
        <w:t>61. Within the context of the Shell/HPV merger, the integrated petrol station companies were polled on the significance of product innovations. The petrol station companies assessed innovation as having a subordinate role in relation to price. Thus, the competitive impact of product innovation in the fuel market is to be regarded as small. This is because on the one hand, the investigations showed that a mineral oil company’s premium products are quickly imitated by other oil companies. On the other hand, the sale of premium products is negligibly small in comparison with total fuel sales and bears no relationship to the role the suppliers’ marketing suggests it has.</w:t>
      </w:r>
    </w:p>
    <w:p>
      <w:r>
        <w:t>3.2.1.6 Interlocks</w:t>
        <w:br/>
        <w:t>62. The leading oil companies are interlocked to a certain extent under company law, with joint refineries, pipelines and tank farms. Third parties have no access to the jointly maintained production and pipeline capacities.</w:t>
      </w:r>
    </w:p>
    <w:p>
      <w:r>
        <w:t>63. Each of the leading oil companies supplies its fuels throughout the Federal Republic of Germany, but does not have its own crude oil processing capacities in every major region. In all, 14 refineries process crude oil in Germany today. A quarter of the capacities are to be found in the north and a further quarter in the west of the country, 31% are in the south and 19% are in eastern Germany. According to the results of the investigations in the Shell/HPV proceedings (file no. B8-134/07), no increase or decrease in capacities is to be expected in the forecast period, which means that the amount of fuels available is unlikely to undergo any major change in spite of the likely further decline in domestic demand. The suppliers operating in the refinery sector see their competitors as being in Germany, in the Amsterdam-Rotterdam-Antwerp (ARA) area and in the border areas of adjoining European countries.</w:t>
      </w:r>
    </w:p>
    <w:p>
      <w:r>
        <w:t>64. The domestic production capacities are largely in the possession of integrated oil companies. Shell, for example, operates the northern German refineries in Heide, Schleswig-Holstein and in Hamburg (regarding a possible future sale, cf. europe oil telegram no. 15 dated 9 March 2009 “Shell will sich von Raffinerien Heide und Hamburg-Harburg trennen“) and the Rhineland refineries in Godorf and Wesseling in western Germany and has total capacities of some 10.5% of total domestic production. In northern Germany BP, Conoco and Holborn also operate one refinery each, while Petroplus and OMV operate in the refinery sector in the west, as does Total in the east of Germany. The independent refineries, importers and wholesalers either do not operate in every region or do not operate at all levels in the fuel sector. In any case, their activities are not reflected in any changes in market shares in the retail sector.</w:t>
      </w:r>
    </w:p>
    <w:p>
      <w:r>
        <w:t>65. The oligopoly members not only control a major part of production capacities, however, but also have major holdings in four joint refineries: Mineraloelraffinerie Oberrhein GmbH &amp; Co. KG in Karlsruhe, Bayernoil Raffineriegesellschaft mbH in Vohburg/ Ingolstadt, PCK Raffinerie GmbH in Schwedt and Ruhr Oel GmbH in Gelsenkirchen (for more details, see the decision on the Shell/HPV proceedings, file no. B8-134/07).</w:t>
      </w:r>
    </w:p>
    <w:p>
      <w:r>
        <w:rPr>
          <w:b/>
        </w:rPr>
        <w:t>[Pages 22–24]</w:t>
      </w:r>
    </w:p>
    <w:p>
      <w:r>
        <w:t>- 22 -</w:t>
        <w:br/>
        <w:t xml:space="preserve">66. The jointly held refineries operate as so-called contract processors for their owners, with the parent companies taking all the entrepreneurial decisions and only entrusting the operating companies with implementing them. The parent companies procure the crude oil to be processed, and supply it in proportion to the size of their participation in the facilities under company law. Both the crude oil and the refinery products obtained remain proportionately the property of the partners. Thus, the capacities and production of the joint refineries are directly (proportionately) attributable to the parent companies.  </w:t>
        <w:br/>
        <w:t xml:space="preserve">67. The refinery locations are supplemented by a national network of tank farms, which are supplied by the refineries by ship, tank wagons or in a few cases by product pipelines.  </w:t>
        <w:br/>
        <w:t xml:space="preserve">68. There are more than 279 tank farms in Germany with a total capacity of some 68 million m³. An estimated 95% of storage capacities are currently being utilised. Government oil reserves comprise somewhat more than 50% of the capacities. Between 10% and 15% of the other 50% of capacities are used for light heating oil. Thus, fuel storage capacities are significantly lower than the overall capacity. Tank farm operators are both integrated oil companies that produce fuel themselves and independent commercial storage undertakings functioning as service undertakings for all the oil companies and independent fuel traders. Thus, on the one hand the integrated oil companies have their own storage capacities, some of which are operated as joint ventures, while on the other hand they rent further capacities from independent storage operators.  </w:t>
        <w:br/>
        <w:t xml:space="preserve">69. It is to be observed in the tank farm sector that integrated oil companies in some cases have dissolved existing links based on company law by quitting joint storage companies. However, according to the results of the investigations, these trends away from concentration do not hamper the access of integrated oil companies to storage capacities. This is on account of joint storage by a number of traders or oil companies in rented tank farms, the entire capacity of which they jointly occupy in some cases. This is possible on account of the homogeneity of the stored products. The respective producers’ fuels are only given their specific characteristics upon delivery through additives at the refinery or tank farm.  </w:t>
        <w:br/>
        <w:t xml:space="preserve">70. In comparison with joint storage, individual storage is expensive and less efficient, as ultimately it is not nominal capacity but throughput that is decisive for the efficiency of a storage company, i.e. how often a storage tank can be refilled and emptied within a certain period. This frequency is generally higher in the case of joint storage than when fuel is stored by just one trader.  </w:t>
        <w:br/>
        <w:t xml:space="preserve">71. Thus, if a new market participant attempts to join a joint storage facility, it would have to come to an agreement with the joint storage companies, not with the tank farm operator. Although use of the joint tank farms generally takes place on the basis of annual contracts, these are extended automatically unless they are terminated, impeding the access of third parties to joint storage.  </w:t>
        <w:br/>
        <w:t xml:space="preserve">3.2.1.7 Mutual dependencies  </w:t>
        <w:br/>
        <w:t xml:space="preserve">72. The integrated petrol station companies have been using a fuel exchange system for a long time. This involves reciprocal (framework) purchase agreements on the regional “exchange” of fuels from the refinery or storage facility. In legal terms, these are bilateral wholesale agreements on the reciprocal purchase and sale of fuels to avoid transporting fuel over long distances. The relevant agreements are concluded for a calendar year and renegotiated at the end of each year. This also has repercussions for the fuels stored jointly by the partners of the exchange system. Even if just one petrol station company has concluded an agreement with the relevant tank farm operator, the latter also supplies this company’s exchange partner upon the instruction of its contractual partner and holds a supply of its additives.  </w:t>
        <w:br/>
        <w:t xml:space="preserve">73. The Decision Division regards the system of fuel trade exchange agreements as being of significance for the market structure. The petrol station companies questioned in the context of the Shell/HPV proceedings (file no. B8-134/07) stated that they used the exchange contracts to an extent ranging from appreciable to sometimes very considerable. On the one hand, the system facilitates blanket coverage by the leading suppliers, and on the other hand it further increases the market transparency on the supply side, which is high in any case, and also leads to oil companies entering into a reciprocal regional dependence on one another on the procurement side.  </w:t>
        <w:br/>
        <w:t xml:space="preserve">74. Thus, the contractual interdependencies of exchange relationships also constitute a credible sanctioning mechanism against deviations in the relationship among the oligopoly suppliers. In the context of exchange contracts being concluded on an annual basis, for example, only limited quantities are available for regional competitive thrusts. The hitherto smooth cooperation in the reciprocal supply of fuels, too, could be called into question or disrupted. Quantitative limits or pricing not based on quotations in international wholesale fuel markets, currently the usual practice, could be imagined as sanctions.  </w:t>
        <w:br/>
        <w:t xml:space="preserve">3.2.1.8 Fragmentation of the competition  </w:t>
        <w:br/>
        <w:t xml:space="preserve">75. As already presented above, the market shares of the other suppliers which are not to be regarded as being part of the oligopoly were in the low, and predominantly very low, single digits in all the relevant markets in the years from 2006 to 2008. In this context, it is to be taken into account that the offer by the members of the “Bundesverband freier Tankstellen e.V.”, which present themselves under the uniform “bft” brand, as well as the offer by the trademark and purchasing syndicates AVIA and UNITI, are made by a large number of medium-sized companies which operate locally or regionally. In the sales statistics, the sales by the bft-, AVIA- and UNITI-branded fuel stations are presented as an aggregate, without representing a uniform company policy. The independent petrol stations are not backed by one single entrepreneur. The great majority of independent petrol station operators are also dependent on supplies from the integrated oil companies. It is therefore unlikely that this very fragmented group of external competitors could effectively limit the oligopoly suppliers’ scope of action, either individually or jointly. This assessment is further supported by the fact that among the suppliers with small or negligible market shares there are subsidiaries of international oil companies which have a high level of competence and large market shares in the petrol station sector in their home markets. These include Agip, which belongs to the Italian ENI Group, the Austrian company OMV and the Polish company PKN Orlen. These latter two undertakings have only succeeded since approximately 2003 in entering focal regional markets through the purchase of petrol stations in northern and eastern Germany (in the case of PKN Orlen) or in southern and eastern Germany (OMV) in the context of implementing commitments in the Shell/DEA and BP/Aral merger control proceedings. The Polish undertaking Orlen purchased some 500 petrol stations and the Austrian undertaking OMV some 280 petrol stations from BP/Veba Oel. This shows that even efficient suppliers in the German petrol station markets cannot easily eliminate or even significantly reduce market share advantages of established undertakings.  </w:t>
        <w:br/>
        <w:t xml:space="preserve">3.2.1.9 No countervailing buyer  </w:t>
        <w:br/>
        <w:t xml:space="preserve">76. The scope opened up to the oligopoly suppliers in the petrol station sector is also not effectively limited by countervailing buyer power. The prerequisite for such a counterweight would be strong buyers who distribute their purchases in the market according to strategic considerations, possibly to a number of suppliers, so as not to become dependent on a group of (dominant) suppliers (cf. Federal Court of Justice, Wirtschaft und Wettbewerb/E 1749, 1752 Klöckner-Becorit). The millions of individual motorists, representing extreme fragmentation on the demand side of the petrol station fuel markets, clearly do not fulfil these prerequisites.  </w:t>
        <w:br/>
        <w:t xml:space="preserve">3.2.2 Effects of the structural conditions on the competitive situation  </w:t>
        <w:br/>
        <w:t>77. According to the Decision Division’s assessment, the structural conditions in the petrol station markets have a direct effect on the situation concerning competition in this market with the effect that the oligopolists jointly hold a paramount market position and are not exposed to any substantial competition. They are therefore jointly able to act unilaterally.</w:t>
      </w:r>
    </w:p>
    <w:p>
      <w:r>
        <w:rPr>
          <w:b/>
        </w:rPr>
        <w:t>[Pages 25–27]</w:t>
      </w:r>
    </w:p>
    <w:p>
      <w:r>
        <w:t>- 25 -</w:t>
        <w:br/>
        <w:t>formly and to a considerable extent independently of their competitors, customers and consumers in the German petrol station fuel markets.</w:t>
      </w:r>
    </w:p>
    <w:p>
      <w:r>
        <w:t>78. According to industrial economics, the structural conditions presented above facilitate implicit coordination by the oligopolists. In detail, implicit coordination can be achieved all the more easily if</w:t>
        <w:br/>
        <w:t>the market is transparent enough to facilitate the observation of deviations from the implicit coordination,</w:t>
        <w:br/>
        <w:t>the products are sufficiently homogeneous to raise market transparency,</w:t>
        <w:br/>
        <w:t>the products have a low level of price elasticity,</w:t>
        <w:br/>
        <w:t>the undertakings often interact with one another and thus, sanctioning mechanisms can quickly be used,</w:t>
        <w:br/>
        <w:t>product innovations are of minor importance,</w:t>
        <w:br/>
        <w:t>the undertakings are interlocked and mutually dependent, leading to the disciplining of oligopolists</w:t>
        <w:br/>
        <w:t>(for a detailed description, cf. for example, Ivaldi/Jullien/Rey/Seabright/Tirole, The Economics of Tacit Collusion, 2003, and Motta, Competition Policy, 2004).</w:t>
      </w:r>
    </w:p>
    <w:p>
      <w:r>
        <w:t>79. The structural conditions of high concentration in the petrol station markets, the homogeneity of the products, the interlocking of undertakings and the mutual dependencies mean that there is no substantial competition between the oligopolists (internal competition). The fragmentation of the competition and the ineffective demand side of the market imply that the oligopolists hold a paramount market position vis-à-vis competitors and are not exposed to any substantial competition.</w:t>
      </w:r>
    </w:p>
    <w:p>
      <w:r>
        <w:t>80. The economic aspects summarised in the Airtours decision by the Court of First Instance of the European Communities are also fulfilled in the relevant petrol station markets. The level of market transparency and particularly the level of price transparency are so high that the oligopolists can recognise adherence to their tacit coordination to a sufficient degree. Secondly, there is the possibility of a sanctioning mechanism against deviations from the common approach in order to ensure discipline. Thirdly, the reactions of undertakings not taking part in the coordination, e.g. those of current or potential competitors or the reactions of customers cannot call into question the likely effect of the coordination.</w:t>
      </w:r>
    </w:p>
    <w:p>
      <w:r>
        <w:t>3.2.3 Statutory presumption of dominance</w:t>
      </w:r>
    </w:p>
    <w:p>
      <w:r>
        <w:t>81. A number of undertakings is presumed to be dominant if it consists of five or fewer undertakings reaching a combined market share of two thirds. However, the law enables undertakings to demonstrate that the conditions of competition may be expected to maintain substantial competition between them, or that the number of undertakings has no paramount market position in relation to the remaining competitors (Section 19 (3) sentence 2 no. 2 ARC). The statutory presumption of market dominance applying, the Decision Division estimates that the submissions of the oligopoly members questioned on the situation regarding competition in the fuel trade in the context of the Shell/HPV proceedings (BP/Aral, Shell, Esso, Total and Conoco/Jet) are not able to refute this presumption. On the contrary, a whole number of other aspects relating to the market structure – as presented in detail above – are arguments in favour of the statutory presumption.</w:t>
      </w:r>
    </w:p>
    <w:p>
      <w:r>
        <w:t>82. For retail sales of diesel at petrol stations, the statutory presumption of Section 19 (3) second sentence no. 2 ARC is (sometimes significantly) exceeded by the oligopoly members Shell, BP/Aral, Esso, Total and ConocoPhillips/Jet in all four regional markets. The joint market shares of BP/Aral, Shell, Esso, Total and Conoco/Jet in the regional markets, for example, are as follows: Chemnitz 70%, Dresden 76%, Erfurt 70% and Leipzig 70%.</w:t>
      </w:r>
    </w:p>
    <w:p>
      <w:r>
        <w:t>83. The statutory presumption of Section 19 (3) second sentence no. 2 ARC is only exceeded for retail sales of petrol at service stations in the Dresden regional market, at 70%. With regard to the regional markets of Chemnitz, Erfurt and Leipzig, independent petrol stations in particular have a notable above-average regional presence. Although the presumption of the existence of an oligopoly under Section 19 (3) second sentence no. 2 ARC therefore probably does not apply to these regional markets, the other factors relating to the market structure explained above take full effect. The investigations provide no evidence that the large number of independent petrol stations present in the region could be able to effectively limit the scope of action of the integrated oil companies. Also, no substantial external competition is exerted by the petrol stations grouped together under other petrol stations.</w:t>
      </w:r>
    </w:p>
    <w:p>
      <w:r>
        <w:t>84. In assessing the market shares for the purposes of competition law, it is significant that these sales shares have remained almost unchanged over time, both in their totals and in their relationship to one another. No substantial change is to be seen either in the market shares of the oligopolists in relation to one another or in their total market share. The fact that the high joint level of market shares has remained static shows that the oligopoly members generally are satisfied with the market shares each of them has reached without there being any effective internal competition among them and without the sometimes fragmented external competition or the extremely fragmented demand side being able to threaten the success of the oligopolists’ such limited competitive conduct.</w:t>
      </w:r>
    </w:p>
    <w:p>
      <w:r>
        <w:t>- 27 -</w:t>
        <w:br/>
        <w:t>3.2.4 Conclusion</w:t>
      </w:r>
    </w:p>
    <w:p>
      <w:r>
        <w:t>85. The integrated oil companies Shell, Aral/BP, ConocoPhillips/Jet ExxonMobil/Esso and Total jointly hold a dominant position in the relevant markets for the sales of petrol and diesel through petrol stations according to Section 19 (2) second sentence ARC. This is due partly to the lack of internal competition between the oligopolists on account of large market shares, asymmetrical market transparency, integration in the production, transport and storage sectors and mutual dependence through exchange agreements, which opens up great retaliatory potential. Another reason is that the external competition is also very limited on account of the fragmentation of competitors and the low level of buyer power. The consequence is that the oligopolists hold a paramount position in the market and are not exposed to any substantial competition. This is also reflected in the fact that the jointly dominant undertakings significantly exceed the statutory presumption of Section 19 (3) no. 2 ARC in the relevant regional markets.</w:t>
      </w:r>
    </w:p>
    <w:p>
      <w:r>
        <w:t>3.3 Strengthening the dominant position in the relevant markets</w:t>
      </w:r>
    </w:p>
    <w:p>
      <w:r>
        <w:t>86. The concentration would lead to the oligopoly’s dominant position being strengthened in all the relevant markets. The adverse effects of this strengthening are to be found primarily in an increase in the market shares of the undertakings holding joint dominance in the relevant markets and in the elimination of an active competitor.</w:t>
      </w:r>
    </w:p>
    <w:p>
      <w:r>
        <w:t>3.3.1 Increase in market shares</w:t>
      </w:r>
    </w:p>
    <w:p>
      <w:r>
        <w:t>87. Total’s intended purchase of all OMV petrol stations in Saxony and Thuringia would lead to an increase in the market share of the dominant oligopoly in the relevant markets.</w:t>
      </w:r>
    </w:p>
    <w:p>
      <w:r>
        <w:t>88. In the Chemnitz regional market, the concentration would lead to the following changes in the market share of petrol and diesel on the basis of physical sales volume weighted according to distance.</w:t>
        <w:br/>
        <w:t>Market shares in</w:t>
        <w:br/>
        <w:t>Chemnitz 2006 2007 2008</w:t>
        <w:br/>
        <w:t>OK DK OK DK OK DK</w:t>
        <w:br/>
        <w:t>Total of the oligopoly 65% 71% 64% 70% 64% 70%</w:t>
        <w:br/>
        <w:t>OMV [10%-15%] [7%-12%] [10%-15%] [7%-12%] [10%-15%] [7%-12%]</w:t>
        <w:br/>
        <w:t>Oligopol + OMV [75%-80%] [78%-83%] [74%-79%] [77%-82%] [74%-79%] [77%-82%]</w:t>
      </w:r>
    </w:p>
    <w:p>
      <w:r>
        <w:rPr>
          <w:b/>
        </w:rPr>
        <w:t>[Pages 28–30]</w:t>
      </w:r>
    </w:p>
    <w:p>
      <w:r>
        <w:t>- 28 -</w:t>
        <w:br/>
        <w:t>The oligopolists’ joint market share would increase as a result of the concentration by more than 10% for petrol to a value of between 74% and 79% and by more than 7% for diesel to a value of between 77% and 82%. Thus, the concentration would lead to an appreciable increase in the oligopoly’s market shares of both types of fuel.</w:t>
      </w:r>
    </w:p>
    <w:p>
      <w:r>
        <w:t>89. If instead of basing the calculation of market shares on sales volume weighted according to distance, it was based on unweighted sales volume, the concentration would lead to even slightly higher market shares for the dominant oligopoly.</w:t>
      </w:r>
    </w:p>
    <w:p>
      <w:r>
        <w:t>Market shares in</w:t>
        <w:br/>
        <w:t>Chemnitz 2006 2007 2008</w:t>
        <w:br/>
        <w:t>OK DK OK DK OK DK</w:t>
        <w:br/>
        <w:t>Total of the oligopoly 67% 73% 66% 72% 66% 72%</w:t>
        <w:br/>
        <w:t>OMV [10%-15%] [5%-10%] [10%-15%] [5%-10%] [10%-15%] [5%-10%]</w:t>
        <w:br/>
        <w:t>Oligopol + OMV [77%-82%] [78%-83%] [76%-81%] [77%-82%] [76%-81%] [77%-82%]</w:t>
      </w:r>
    </w:p>
    <w:p>
      <w:r>
        <w:t>90. In the Dresden regional market, the concentration would lead to the following changes in market share for petrol and diesel on the basis of physical sales volume weighted according to distance.</w:t>
      </w:r>
    </w:p>
    <w:p>
      <w:r>
        <w:t>Market shares in</w:t>
        <w:br/>
        <w:t>Dresden 2006 2007 2008</w:t>
        <w:br/>
        <w:t>OK DK OK DK OK DK</w:t>
        <w:br/>
        <w:t>Total of the oligopoly 71% 78% 71% 76% 70% 76%</w:t>
        <w:br/>
        <w:t>OMV [4%-9%] [4%-9%] [4%-9%] [4%-9%] [4%-9%] [4%-9%]</w:t>
        <w:br/>
        <w:t>Oligopol + OMV [75%-80%] [82%-87%] [75%-80%] [80%-85%] [74%-79%] [80%-85%]</w:t>
      </w:r>
    </w:p>
    <w:p>
      <w:r>
        <w:t>The oligopolists’ joint market share would increase as a result of the concentration to a value of between 74% and 79% for petrol and to a value of as much as between 80% and 85% for diesel. Thus, the concentration would lead to an appreciable increase in the oligopoly’s market shares of both types of fuel.</w:t>
      </w:r>
    </w:p>
    <w:p>
      <w:r>
        <w:t>91. If instead of basing the calculation of market shares on sales volume weighted according to distance, it was based on unweighted sales volumes, the concentration would lead to even higher market shares for the dominant oligopoly in the case of diesel.</w:t>
      </w:r>
    </w:p>
    <w:p>
      <w:r>
        <w:t>- 29 -</w:t>
        <w:br/>
        <w:t>Market shares in</w:t>
        <w:br/>
        <w:t>Dresden 2006 2007 2008</w:t>
        <w:br/>
        <w:t>OK DK OK DK OK DK</w:t>
        <w:br/>
        <w:t>Total of the oligopoly 72% 80% 72% 78% 70% 79%</w:t>
        <w:br/>
        <w:t>OMV [4%-9%] [4%-9%] [4%-9%] [4%-9%] [4%-9%] [4%-9%]</w:t>
        <w:br/>
        <w:t>Oligopol + OMV [76%-81%] [84%-89%] [76%-81%] [82%-87%] [74%-79%] [83%-88%]</w:t>
      </w:r>
    </w:p>
    <w:p>
      <w:r>
        <w:t>92. In the Erfurt regional market, the concentration would lead to the following changes in market share for petrol and diesel on the basis of physical sales volumes weighted according to distance.</w:t>
      </w:r>
    </w:p>
    <w:p>
      <w:r>
        <w:t>Market shares in</w:t>
        <w:br/>
        <w:t>Erfurt 2006 2007 2008</w:t>
        <w:br/>
        <w:t>OK DK OK DK OK DK</w:t>
        <w:br/>
        <w:t>Total [18%-23%] [18%-23%] [18%-23%] [18%-23%] [18%-23%] [18%-23%]</w:t>
        <w:br/>
        <w:t>Total of the oligopoly 64% 74% 61% 71% 60% 70%</w:t>
        <w:br/>
        <w:t>OMV [7%-12%] [5%-10%] [7%-12%] [5%-10%] [7%-12%] [5%-10%]</w:t>
        <w:br/>
        <w:t>Oligopol + OMV [71%-76%] [79%-84%] [68%-73%] [76%-81%] [67%-72%] [75%-80%]</w:t>
      </w:r>
    </w:p>
    <w:p>
      <w:r>
        <w:t>The oligopolists’ joint market share of petrol would increase as a result of the concentration by more than 7% for petrol to a value of between 67% and 72% and by more than 5% for diesel to a value of between 75% and 80%. Thus, the concentration would lead to an appreciable increase in the oligopoly’s market shares of both types of fuel.</w:t>
      </w:r>
    </w:p>
    <w:p>
      <w:r>
        <w:t>93. A similar picture results when, instead of basing the calculation of market shares on sales volumes weighted according to distance, it is based on unweighted sales volumes, although the concentration would result in comparatively lower market shares for the dominant oligopoly. Even in the case of this constellation, however, the oligopolists' joint market share would be more than 60% of petrol and more than 70% of diesel.</w:t>
      </w:r>
    </w:p>
    <w:p>
      <w:r>
        <w:t>Market shares in</w:t>
        <w:br/>
        <w:t>Erfurt 2006 2007 2008</w:t>
        <w:br/>
        <w:t>OK DK OK DK OK DK</w:t>
      </w:r>
    </w:p>
    <w:p>
      <w:r>
        <w:t>- 30 -</w:t>
        <w:br/>
        <w:t>Total of the oligopoly 59% 69% 57% 68% 56% 67%</w:t>
        <w:br/>
        <w:t>OMV [5%-10%] [5%-10%] [5%-10%] [5%-10%] [5%-10%] [5%-10%]</w:t>
        <w:br/>
        <w:t>Oligopol + OMV [64%-69%] [74%-79%] [62%-67%] [73%-78%] [61%-66%] [72%-77%]</w:t>
      </w:r>
    </w:p>
    <w:p>
      <w:r>
        <w:t>94. In the Leipzig regional market, the concentration would lead to the following changes in market shares of petrol and diesel on the basis of physical sales volumes weighted according to distance.</w:t>
      </w:r>
    </w:p>
    <w:p>
      <w:r>
        <w:t>Market shares in</w:t>
        <w:br/>
        <w:t>Leipzig 2006 2007 2008</w:t>
        <w:br/>
        <w:t>OK DK OK DK OK DK</w:t>
        <w:br/>
        <w:t>Total of the oligopoly 63% 72% 63% 71% 61% 70%</w:t>
        <w:br/>
        <w:t>OMV [7%-12%] [7%-12%] [7%-12%] [7%-12%] [7%-12%] [7%-12%]</w:t>
        <w:br/>
        <w:t>Oligopol + OMV [70%-75%] [79%-84%] [70%-75%] [78%-83%] [68%-73%] [77%-82%]</w:t>
      </w:r>
    </w:p>
    <w:p>
      <w:r>
        <w:t>The oligopolists’ joint market share of both petrol and diesel would increase by more than 7% as a result of the concentration to values of between 68% and 73% for petrol and of between 77% and 82% for diesel. Thus, the concentration would lead to an appreciable increase in the oligopoly’s market shares of both types of fuel.</w:t>
      </w:r>
    </w:p>
    <w:p>
      <w:r>
        <w:t>95. A similar picture results when, instead of basing the calculation of market shares on sales volumes weighted according to distance, it is based on unweighted sales volumes.</w:t>
      </w:r>
    </w:p>
    <w:p>
      <w:r>
        <w:t>Market shares in</w:t>
        <w:br/>
        <w:t>Leipzig 2006 2007 2008</w:t>
        <w:br/>
        <w:t>Unweighted OK DK OK DK OK DK</w:t>
        <w:br/>
        <w:t>Total of the oligopoly 63% 72% 64% 72% 62% 70%</w:t>
        <w:br/>
        <w:t>OMV [7%-12%] [5%-10%] [7%-12%] [5%-10%] [7%-12%] [5%-10%]</w:t>
        <w:br/>
        <w:t>Oligopol + OMV [70%-75%] [77%-82%] [71%-76%] [77%-82%] [69%-74%] [75%-80%]</w:t>
      </w:r>
    </w:p>
    <w:p>
      <w:r>
        <w:t>96. With regard to the four regional markets, the general statement may be made that the present merger project would lead to an appreciable increase in the market shares of</w:t>
      </w:r>
    </w:p>
    <w:p>
      <w:r>
        <w:rPr>
          <w:b/>
        </w:rPr>
        <w:t>[Pages 31–32]</w:t>
      </w:r>
    </w:p>
    <w:p>
      <w:r>
        <w:t>- 31 -</w:t>
        <w:br/>
        <w:t>the dominant oligopoly in all the markets concerned. In each of these markets, the presumption thresholds of Section 19 (3) second sentence no. 2 ARC would be exceeded.</w:t>
      </w:r>
    </w:p>
    <w:p>
      <w:r>
        <w:t>3.3.2 Elimination of an active competitor</w:t>
        <w:br/>
        <w:t>97. In three of the four relevant regional markets, OMV currently has the largest market share in comparison with all the petrol station companies that are not to be regarded as being part of the oligopoly. Only in one regional market does OMV have the second-largest market share of all the undertakings not to be regarded as being part of the dominant oligopoly. To this extent, the concentration would not only lead to the elimination of an active competitor, which would in itself be a matter of concern with regard to competition, but even to the elimination of the strongest competitor. The strength of OMV in comparison with other undertakings that are not to be regarded as being part of the oligopoly can be seen, among other things, in its efficiency quotient, derived from the market share of sales and the market share of petrol stations. Within the oligopoly group, the efficiency quotient is between 1.1 (Esso) and 2.0 (Jet). In contrast, the efficiency quotient of independent petrol stations is just 0.8, and in the case of Avia petrol stations it is just 0.6. Thus, OMV, with an efficiency quotient of 1.1, is one of the most efficient petrol station undertakings outside the dominant oligopoly along with Tamoil (data taken from “Tankstellen Special”, in: Energie Informationsdienst, 06/09).</w:t>
      </w:r>
    </w:p>
    <w:p>
      <w:r>
        <w:t>98. If in such concentrated and oligopolist-dominated markets there is any scope at all for competitive advances by undertakings that are to be regarded as external competition, then it is most likely to come from the strongest competitor. This effect would be lost if the concentration were to be realised.</w:t>
      </w:r>
    </w:p>
    <w:p>
      <w:r>
        <w:t>3.3.3 Worsening access for external competitors</w:t>
        <w:br/>
        <w:t>99. In the context of the market survey, information was collected from petrol stations in the relevant regional markets on the sourcing of the fuels sold at petrol stations. This was intended in particular to clarify the current situation concerning access to the procurement markets (refineries and tank farms).</w:t>
      </w:r>
    </w:p>
    <w:p>
      <w:r>
        <w:t>100. Concerning the parties to the concentration, it emerged that in principle Total’s petrol station operations procure the quantities of fuel they require from the Total refinery in Leuna or from a tank farm that is to be regarded as being part of Total. OMV’s petrol station operations in the regional markets of Chemnitz, Erfurt and Leipzig, too, already procure the quantities of fuel they require from the Total refinery in Leuna or from a tank farm that is to be regarded as being part of Total. Only in the regional market of Dresden do OMV petrol station operations procure most of their quantities of fuel from a tank farm of another undertaking that is also to be regarded as being part of the dominant oligopoly. Since the Total petrol stations in the Dresden regional market obtain their quantities of fuel from the refinery in Leuna, it may be presumed that the OMV petrol stations in the Dresden regional market would change their source of supply to the Total refinery in Leuna accordingly following realisation of the concentration. Thus internalising procurement channels makes it likely that the concentration could hamper access to procurement markets (here: Total refinery in Leuna) for undertakings that are not dominant, in line with the results of the survey.</w:t>
      </w:r>
    </w:p>
    <w:p>
      <w:r>
        <w:t>4 Overall assessment</w:t>
        <w:br/>
        <w:t>101. The concentration fulfils the formal conditions for prohibition under Section 35 ARC and the material conditions for prohibition under Section 36 (1) ARC. The concentration is likely to strengthen the joint dominant position of BP/Aral, ConocoPhillips/Jet, ExxonMobil/Esso, Shell and Total in the relevant markets. In particular, the concentration would lead to an increase in the market shares of the dominant oligopoly, thereby increasing concentration in the market, as well as increasing the possibility of sanctions within the dominant oligopoly. The concentration therefore has the potential to further weaken internal competition within the oligopoly. Moreover, the concentration would lead to the disappearance of one of the most efficient companies (OMV) within the group of companies that is not to be regarded as being part of the oligopoly albeit that this group is relatively insignificant. As a result, competitive advances by companies not to be regarded as being part of the dominant oligopoly will become even less likely. For this reason, the concentration would lead to a weakening of external competition. It is not evident and was not argued by the parties involved that the concentration would also lead to improvements in the conditions of competition which could outweigh the disadvantages of market dominance.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