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https://www.bundeskartellamt.de/SharedDocs/Entscheidung/DE/Fallberichte/Fusionskontrolle/2019/B8-22-19.pdf?__blob=publicationFile&amp;v=2</w:t>
      </w:r>
    </w:p>
    <w:p>
      <w:r>
        <w:t>Pages translated : 3</w:t>
      </w:r>
    </w:p>
    <w:p/>
    <w:p>
      <w:r>
        <w:rPr>
          <w:b/>
        </w:rPr>
        <w:t>[Pages 1–3]</w:t>
      </w:r>
    </w:p>
    <w:p>
      <w:r>
        <w:t xml:space="preserve">Case Report March 6, 2019  </w:t>
        <w:br/>
        <w:t xml:space="preserve">Approval of the acquisition of the energy trading company BMH by bmp  </w:t>
        <w:br/>
        <w:t xml:space="preserve">Industry: Biomethane Trading  </w:t>
        <w:br/>
        <w:t xml:space="preserve">File Number: B8-22/19  </w:t>
        <w:br/>
        <w:t>Date of Decision: February 8, 2019</w:t>
      </w:r>
    </w:p>
    <w:p>
      <w:r>
        <w:t xml:space="preserve">The Federal Cartel Office has approved the planned acquisition of the energy trading company BMH Biomethan GmbH (BMH) by bmp greengas GmbH (bmp) after investigations within the one-month period in the preliminary examination procedure. The investigations revealed that the merger does not lead to a significant impediment to effective competition.  </w:t>
        <w:br/>
        <w:t>BMH and bmp are both engaged in the trading of biomethane and provide related services. bmp is part of the EnBW Energie Baden-Württemberg AG (EnBW) corporate group through Erdgas Südwest GmbH, which also has its own biomethane processing plants.</w:t>
      </w:r>
    </w:p>
    <w:p>
      <w:r>
        <w:t xml:space="preserve">Market Environment and Delimitation  </w:t>
        <w:br/>
        <w:t xml:space="preserve">Biogas is an energy-rich gas mixture produced by the decomposition of organic material in biogas plants. Approximately 10 percent of the biogas produced annually in Germany is processed into biomethane in biomethane processing plants and fed into the natural gas grid. When using gas taken from the natural gas grid, it is practically impossible to distinguish between fossil and biogenic gas.  </w:t>
        <w:br/>
        <w:t xml:space="preserve">The trading of biomethane occurs over-the-counter through direct contracts (so-called over-the-counter transactions), whereby proof of compliance with the requirements for remuneration under the Renewable Energy Sources Act (EEG) is provided, thus excluding multiple funding. Individual trading transactions can relate to the injection or withdrawal at physical points, as well as take place at a so-called virtual trading point. This is a point in the market area where gas can be transferred between balancing groups, although the point does not correspond to any physical injection or withdrawal point. The possibility of trading at virtual trading points means that the total traded gas volume can exceed the physically injected gas volume, as the same gas volume can be traded multiple times successively.  </w:t>
        <w:br/>
        <w:t>The Federal Cartel Office was able to leave open whether a separate market for biomethane trading can be delineated from the natural gas supply market. With regard to the natural gas supply market, the Federal Cartel Office's consistent practice assumes a uniform market for the supply of regional long-distance gas companies and regional long-distance gas enterprises, including their traders, for gas wholesale. For gas distribution,</w:t>
      </w:r>
    </w:p>
    <w:p>
      <w:r>
        <w:t xml:space="preserve">- 2 -  </w:t>
        <w:br/>
        <w:t xml:space="preserve">the Federal Cartel Office distinguishes, in terms of the end customer markets, separate product markets for the supply of customers with registered performance measurement, for the supply of standard load profile customers based on special contracts, as well as in the basic supply with gas. In geographical terms, these markets, with the exception of the basic supply market which is to be delineated to the respective network area of the basic supplier, are to be delineated nationwide.  </w:t>
        <w:br/>
        <w:t>Although, due to the chemical properties of biomethane, interchangeability with fossil natural gas could be assumed from the demand side, the Federal Cartel Office believes that particularities of the biomethane trade could argue for a delineation from the natural gas supply market. For instance, price determination in biomethane is decoupled from that of fossil natural gas, as price formation is significantly influenced by the legal framework conditions of the EEG remuneration. Against a uniform market, it could also be argued that biomethane is associated with special ecological properties from the demand side, which are secured for buyers through the legal proof obligations that do not find a counterpart in the trade of fossil natural gas. To the extent that one would assume a delineable substantive market for biomethane against this background, it would extend, in geographical terms, due to the regulatory framework conditions, over the territory of the Federal Republic of Germany.</w:t>
      </w:r>
    </w:p>
    <w:p>
      <w:r>
        <w:t xml:space="preserve">Market Position of the Parties and Effects of the Project  </w:t>
        <w:br/>
        <w:t xml:space="preserve">In its investigations, the Federal Cartel Office examined the market position of the parties involved and competitors both in a possible separate market for biomethane trading and in a potentially further natural gas supply market.  </w:t>
        <w:br/>
        <w:t xml:space="preserve">The investigations of the market positions included a query of the physical injection and withdrawal of biomethane in the years 2017 and 2018 among the relevant market participants. This physical injection and withdrawal volume could be related to the total physical injection and withdrawal volume of biomethane in the German natural gas grid. Furthermore, the Federal Cartel Office also obtained information on the additional biomethane traded at virtual trading points in order to consider the total trading volume, including any biomethane that may have been traded multiple times.  </w:t>
        <w:br/>
        <w:t xml:space="preserve">The investigations revealed that the joint market share of the parties after the merger would be below 20 percent nationwide in a separate biomethane trading market. This applies both to a calculation based on the total physical injection volume and taking into account the additional trading at virtual trading points. If one uses the gas wholesale market or the gas distribution markets as a benchmark, the market shares of the parties after the merger would be significantly below 10 percent each.  </w:t>
        <w:br/>
        <w:t xml:space="preserve">The Federal Cartel Office also examined, among other things, the effects of the project on access to procurement and sales markets. The investigations revealed no risk of a foreclosure effect attributable to the merger for either biomethane or biogas on the procurement side, even considering the generation capacities available within the EnBW group. On the sales side, the Federal Cartel Office could not predict any foreclosure effect, taking into account the market shares of the merger parties in physical or virtual sales, as well as the expected redistribution of the EEG market between 2020 and 2025 based on the results of the investigations.  </w:t>
        <w:br/>
        <w:t>The investigation results thus showed that the merger does not lead to a significant impediment to competition. In light of these results, the project could be approved without an in-depth main examination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