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https://www.bundeskartellamt.de/SharedDocs/Entscheidung/DE/Entscheidungen/Fusionskontrolle/2001/B8-243-00.pdf?__blob=publicationFile&amp;v=1</w:t>
      </w:r>
    </w:p>
    <w:p>
      <w:r>
        <w:t>Pages translated : 12</w:t>
      </w:r>
    </w:p>
    <w:p/>
    <w:p>
      <w:r>
        <w:rPr>
          <w:b/>
        </w:rPr>
        <w:t>[Pages 1–3]</w:t>
      </w:r>
    </w:p>
    <w:p>
      <w:r>
        <w:t xml:space="preserve">BUNDESKARTELLAMT  </w:t>
        <w:br/>
        <w:t xml:space="preserve">8. Decision Division  </w:t>
        <w:br/>
        <w:t xml:space="preserve">B 8 - 41000 -U- 243/00  </w:t>
        <w:br/>
        <w:t xml:space="preserve">Decision  </w:t>
        <w:br/>
        <w:t xml:space="preserve">in the administrative procedure  </w:t>
        <w:br/>
        <w:t xml:space="preserve">1. Gelsenwasser AG  </w:t>
        <w:br/>
        <w:t xml:space="preserve">Willy-Brandt-Allee 26  </w:t>
        <w:br/>
        <w:t xml:space="preserve">45891 Gelsenkirchen  </w:t>
        <w:br/>
        <w:t xml:space="preserve">2. Dortmunder Energie- und  </w:t>
        <w:br/>
        <w:t xml:space="preserve">Wasserversorgung GmbH  </w:t>
        <w:br/>
        <w:t xml:space="preserve">Ostwall 51  </w:t>
        <w:br/>
        <w:t xml:space="preserve">44135 Dortmund  </w:t>
        <w:br/>
        <w:t xml:space="preserve">Authorized representatives of the parties involved:  </w:t>
        <w:br/>
        <w:t xml:space="preserve">Lawyers Freshfields Bruckhaus Deringer  </w:t>
        <w:br/>
        <w:t xml:space="preserve">Potsdamer Platz 1  </w:t>
        <w:br/>
        <w:t xml:space="preserve">10785 Berlin  </w:t>
        <w:br/>
        <w:t xml:space="preserve">- Parties -  </w:t>
        <w:br/>
        <w:t xml:space="preserve">regarding the examination of a merger project pursuant to § 36 para. 1 of the Act Against Restraints of Competition (GWB), the 8th Decision Division has resolved on February 28, 2001:  </w:t>
        <w:br/>
        <w:t xml:space="preserve">1. The merger project notified by letter from the authorized representatives of the parties involved dated November 23, 2000, is not prohibited.  </w:t>
        <w:br/>
        <w:t xml:space="preserve">2. The fee for the notification is set at  </w:t>
        <w:br/>
        <w:t xml:space="preserve">xxx DM  </w:t>
        <w:br/>
        <w:t xml:space="preserve">(in words: xxx Deutsche Mark)  </w:t>
        <w:br/>
        <w:t xml:space="preserve">(information: xxx Euro)  </w:t>
        <w:br/>
        <w:t xml:space="preserve">and imposed on the parties as joint debtors.  </w:t>
        <w:br/>
        <w:t>Appel\243-00-Decision.doc</w:t>
      </w:r>
    </w:p>
    <w:p>
      <w:r>
        <w:t xml:space="preserve">Reasons  </w:t>
        <w:br/>
        <w:t xml:space="preserve">1. By letter dated November 23, 2000, received in advance by fax on November 23, 2000, the authorized representatives of the parties involved notified the establishment of the joint venture Wasserwerke Westfalen GmbH, Dortmund, pursuant to § 39 GWB.  </w:t>
        <w:br/>
        <w:t xml:space="preserve">2. By letter transmitted via fax on December 20, 2000, the Federal Cartel Office informed the authorized representatives of the parties involved, pursuant to § 40 para. 1 GWB, that it has commenced the examination of the aforementioned merger project (main examination procedure).  </w:t>
        <w:br/>
        <w:t xml:space="preserve">3. After reviewing the notification, the Federal Cartel Office determined that the notified merger project falls within the scope of the Act Against Restraints of Competition pursuant to § 35 GWB and does not meet the prohibition requirements of § 36 para. 1 GWB.  </w:t>
        <w:br/>
        <w:t xml:space="preserve">I. THE PARTICIPATING COMPANIES AND THE PROJECT  </w:t>
        <w:br/>
        <w:t xml:space="preserve">4. The first party is regionally active in the supply of water and natural gas. It supplies water to approximately 2.7 million residents and industrial companies in the Ruhr area, Münsterland, and East Westphalia. It operates natural gas supply in Münsterland, East Westphalia, and the adjacent Lower Saxony. Through its 100% subsidiary Niederrheinische Gas- und Wasserwerke GmbH, it also indirectly and directly supplies a non-contiguous area along the Middle Rhine with gas and water. The revenue of the first party along with its subsidiaries amounted to 669.1 million DM in the fiscal year 1999. The shareholders of the first party are E.ON Aqua GmbH, a 100% subsidiary of E.ON Energie AG, with 80.16% of the shares, as well as several cities and municipalities with shares amounting to 15.24%. The remaining 4.6% of the business shares are held in free float. E.ON AG, Düsseldorf, holds the majority in E.ON Energie AG. E.ON is a globally active company with business fields in energy supply, chemical industry, and mineral oil extraction and processing. For the fiscal year 1999, consolidated revenues of the group amounted to 138.73 billion DM worldwide, 95.09 billion DM within the EU, and 67.69 billion DM domestically.  </w:t>
        <w:br/>
        <w:t xml:space="preserve">5. Originally, VEW Aktiengesellschaft (VEW), Dortmund, held approximately 28.08% of the shares in the first party's share capital. These shares were initially transferred to RWE AG upon the effectiveness of the merger of VEW with RWE AG through universal succession. By share purchase and transfer agreement dated January 2/3, 2001, these shares were transferred to E.ON Aqua GmbH. The sale of the shares in the first party by RWE AG to a third party was subject to a condition of a merger control decision by the Federal Cartel Office (No. I.A.5.2. of the decision dated July 3, 2000), which approved the merger of VEW AG with RWE AG. According to the Federal Cartel Office and the EC Commission, without the imposed conditions, the merger of Veba AG with VIAG AG (COMP/M. 1673; now: E.ON AG) threatened to create duopolistic supply structures, particularly in the nationally delineated markets of the electricity industry. The elimination of the corporate connections between RWE AG and E.ON Energie AG, among others, at the first party was intended to strengthen internal competition between these companies. However, for the gas sector, the Federal Cartel Office assumed that even with the fulfillment of the corresponding conditions, a complete elimination of the strengthening of the dominant market positions of Thyssengas AG and WFG involved in the merger was not to be expected, but that these deteriorations would be outweighed by significant improvements in competitive conditions in the market for electricity balancing energy in the sense of the balancing clause of § 36 para. 1 last sentence GWB.  </w:t>
        <w:br/>
        <w:t>6. The second party is a municipal energy supply company with the sectors of electricity, natural gas, district heating, and water supply, which supplies the city area of Dortmund and some surrounding municipalities.</w:t>
      </w:r>
    </w:p>
    <w:p>
      <w:r>
        <w:rPr>
          <w:b/>
        </w:rPr>
        <w:t>[Pages 4–6]</w:t>
      </w:r>
    </w:p>
    <w:p>
      <w:r>
        <w:t>Water supply is operated by it in Dortmund and the neighboring areas of Herdecke and Holzwickede. It is also active as a supplier of drinking water for the urban areas of Schwerte and Iserlohn. To this end, the party to 2 has extracted approximately 70 million cubic meters of water from the Ruhr via the Wasserwerke Westhofen 1 and 2, Ergste, Villigst, and Hengsen. The revenue of party to 2 in the fiscal year 1999 amounted to approximately 903 million DM, of which approximately 150 million DM was attributable to the water supply sector. The shares in party to 2 are held 45.5% by RWE AG (formerly: VEW Energie AG) and 55.5% by Dortmunder Stadtwerke AG, a 100% subsidiary of the City of Dortmund. The revenue of Dortmunder Stadtwerke AG, which was generated exclusively domestically, amounted to approximately 1.248 billion DM in the fiscal year 1999.</w:t>
      </w:r>
    </w:p>
    <w:p>
      <w:r>
        <w:t>7. Parties 1 and 2 intended to establish the joint venture "Wasserwerke Westfalen GmbH." To this end, the waterworks of the parties on the upper Ruhr are to be consolidated in the joint company. Specifically, this includes the waterworks Echthausen, Halingen/Fröndenberg, and Witten of party 1 and the aforementioned waterworks of party 2. The business purpose of "Wasserwerke Westfalen GmbH" will be the procurement, extraction, promotion, treatment, and provision of drinking water in the catchment area of the Ruhr for the primary supply of the shareholders and the operation of water management facilities. The establishment of the joint venture is justified by the decline in water sales due to structural change in the Ruhr area and the shutdown of industrial facilities, which the parties estimate will continue. The consolidation of the waterworks is intended to enable an orderly reduction of overcapacities.</w:t>
      </w:r>
    </w:p>
    <w:p>
      <w:r>
        <w:t>II. MERGER</w:t>
      </w:r>
    </w:p>
    <w:p>
      <w:r>
        <w:t>8. The establishment of the joint venture realizes, with respect to parties 1 and 2, the merger thresholds of § 37 para. 1 no. 2 lit. b GWB and § 37 para. 1 no. 3 lit. a GWB as well as, in the relationship between the parties, that of § 37 para. 1 no. 3 sentence 3 GWB.</w:t>
      </w:r>
    </w:p>
    <w:p>
      <w:r>
        <w:t>III. SCOPE OF APPLICATION OF THE GWB</w:t>
      </w:r>
    </w:p>
    <w:p>
      <w:r>
        <w:t>9. The applicability of the GWB and thus the jurisdiction of the Federal Cartel Office for the merger control review arises from the fact that there is no merger of Community-wide significance. Although the parties, through their parent companies, reach the turnover thresholds set out in Article 1 para. 2 of Council Regulation (EEC) No. 4064/89 of 21 December 1989 on the control of concentrations between undertakings, as amended by Council Regulation (EC) No. 1310/97 of 30 June 1997 (ECMR), the companies involved in the merger each achieve more than 2/3 of their attributable Community-wide turnover in Germany and thus in the same Member State (Art. 1 para. 3, last sentence ECMR in conjunction with § 35 GWB). Furthermore, the joint venture does not constitute a full-functioning company within the meaning of Art. 3 para. 2 ECMR, as its activity is limited to production and there is no access to the market (cf. Commission Communication on the concept of a full-functioning company under the ECMR, para. 13).</w:t>
      </w:r>
    </w:p>
    <w:p>
      <w:r>
        <w:t>10. The merger project is subject to notification and control under § 39 in conjunction with § 35 GWB, as the attributable revenues of the companies involved in the merger exceed the thresholds of 1 billion worldwide and 50 million DM in domestic revenues, and the merger concerns markets with an annual turnover volume of more than 30 million DM (§ 35 para. 2 sentence 1 no. 2 GWB).</w:t>
      </w:r>
    </w:p>
    <w:p>
      <w:r>
        <w:t>IV. COMPETITIVE ASSESSMENT</w:t>
      </w:r>
    </w:p>
    <w:p>
      <w:r>
        <w:t>11. The merger project does not meet the prohibition requirements of § 36 para. 1 GWB, as it is not expected to lead to the creation or strengthening of dominant market positions in the markets for the supply of water.</w:t>
      </w:r>
    </w:p>
    <w:p>
      <w:r>
        <w:t>1. Relevant Market</w:t>
      </w:r>
    </w:p>
    <w:p>
      <w:r>
        <w:t>12. The merger project indirectly affects markets for the final supply of water in terms of substance. Water supply in Germany is typically provided at the end distribution level locally by predominantly municipal water supply companies such as city and municipal utilities or water associations. In urban areas, water supply is also provided by regionally active, privately organized water supply companies such as party 1. Numerous water suppliers extract the required drinking and utility water themselves from wells or treatment plants. The extracted water is then treated and, if necessary, mixed with other water to achieve drinking water quality. Any additional demand is sourced from neighboring water suppliers or regionally active suppliers. Some competition may occur here if a local water supply company has the option to source water from several neighboring or regionally active suppliers. This possibility is usually very limited because water should not be transported over long distances for hygienic and economic reasons, and a comprehensive interconnection of water supply networks is not present. Whether, in light of this situation, independent markets for the redistribution of water can already be assumed remains ultimately open. Party 1 is exclusively engaged in the final supply of households, businesses, and industry with water in areas including Menden, Unna, and Bochum. Party 2 operates the final supply in the cities of Dortmund, Herdecke, and Holzwickede and simultaneously covers the water needs of the city of Schwerte and part of the needs of the city of Iserlohn as a preliminary supplier.</w:t>
      </w:r>
    </w:p>
    <w:p>
      <w:r>
        <w:rPr>
          <w:b/>
        </w:rPr>
        <w:t>[Pages 7–9]</w:t>
      </w:r>
    </w:p>
    <w:p>
      <w:r>
        <w:t>2. Spatially Relevant Market</w:t>
      </w:r>
    </w:p>
    <w:p>
      <w:r>
        <w:t>13. The markets affected by the merger project for the supply of water are, like the markets for natural gas and previously for electricity, to be spatially limited to the respective areas of activity of the participating companies according to the practice of the decision-making department (see in this regard BGH WuW/DE-R 24 "Stromversorgung Aggertal" and 32 "Stadtwerke Garbsen"). The relevant market is determined materially by the water supply facilities of the parties involved and spatially by their geographical location. Spatially, these markets are to be distinguished from those where other companies provide the corresponding services. This market delineation is based in particular on the regulations of the respective state water laws, which regularly impose the obligation on municipalities to carry out water supply in the municipality, unless this obligation is transferred to other public law bodies (e.g., associations of municipalities). Unlike in the electricity and gas supply, the legislator has initially refrained from liberalizing the markets for drinking water. Thus, among other things, the exemption regulations of §§ 103, 103 a, and 105 GWB a.F., insofar as they concern public water supply, continue to apply under § 131 para. 8 GWB n.F. The markets relevant in the present case are the water supply areas of the parties to 1. and 2.</w:t>
      </w:r>
    </w:p>
    <w:p>
      <w:r>
        <w:t>3. Effects of the Merger on the Water Markets</w:t>
      </w:r>
    </w:p>
    <w:p>
      <w:r>
        <w:t>14. In their spatial markets for the end supply of water, limited to their regional supply areas, the parties to 1. and 2. each hold a dominant market position. This is due to the ownership structures of the supply facilities, the public law obligation to connect and use, and the associated access to customers, which means there are no competitors there (§ 19 para. 2 no. 1 GWB).</w:t>
      </w:r>
    </w:p>
    <w:p>
      <w:r>
        <w:t>15. An enhancement of the regionally dominant positions of the parties to 1. and 2. in the end supply of water in the upper Ruhr is not to be expected from the planned establishment of the joint venture "Wasserwerke Westfalen GmbH." The activity of the joint venture will be limited to the production of drinking water in the catchment area of the Ruhr, i.e., procurement, extraction, promotion, treatment, and provision of drinking water, as well as its delivery to the shareholders at cost price and the operation of the associated facilities. Both shareholders will continue to operate independently in supplying end consumers in their areas. They are also not to be regarded as (potential) competitors, as their supply areas, which are also not interconnected, are to be considered as spatially separate markets. The joint venture is intended solely to optimize the extraction of water from water and operational economic perspectives. The waterworks to be contributed to the company were facilities that were involved in the water supply process of the parties to 1. and 2. After their spin-off and contribution to the joint venture, it will only perform auxiliary functions for the parent companies and will not become market-relevant. Even with regard to the opening of competition in the water sector, the establishment of the joint venture will not lead to a restriction of competition, as the pooling of total costs resulting from the consolidation of water extraction is of subordinate significance. The share of costs for the extraction and treatment of water accounts for only about 25% of the total costs of water supply.</w:t>
      </w:r>
    </w:p>
    <w:p>
      <w:r>
        <w:t>16. To the extent that an independent redistribution market for the supply of end suppliers with water could be assumed, the party to 2. cannot further secure its potentially dominant supplier position in supplying the cities of Schwerte and Iserlohn through the establishment of the joint venture. This is because the party to 1. is not to be regarded as a potential supplier for both cities. Supplying the cities of Schwerte and Iserlohn by the party to 1. would require a connection to the existing pipelines. The construction of pipelines and pressure boosting facilities would be associated with economically unjustifiable expenses.</w:t>
      </w:r>
    </w:p>
    <w:p>
      <w:r>
        <w:t>4. Effects of the Merger on Other Markets</w:t>
      </w:r>
    </w:p>
    <w:p>
      <w:r>
        <w:t>17. The establishment of the joint venture Wasserwerke Westfalen GmbH by the parties to 1. and 2. also leads to a renewed indirect corporate connection between E.ON Energie AG and RWE AG. E.ON Energie AG is the main shareholder of the party to 1. through E.ON Aqua GmbH. RWE AG has a co-determining influence in the party to 2. with a stake of 45.5%. The elimination of interconnections between RWE AG and the E.ON Group was, however, the aim of the condition imposed on RWE AG in the merger control procedure RWE/VEW to sell its stake in the party to 1. to a third party. According to the Federal Cartel Office, there was a concern that without the imposed conditions, the mergers of RWE AG with VEW AG and Veba AG with VIAG AG could lead to duopolistic supply structures replacing the former regional monopolies of the merger participants in the electricity markets. Therefore, the condition of separating the structural connection of the E.ON Group and RWE AG at the party to 1. aimed to reduce the reaction interdependence and thus improve the conditions for internal competition between the companies. Although the elimination of interconnections of the companies at Rhenag Rheinische Energie AG and Vereinigte Energiewerke AG was also subject to conditions, interconnections of RWE AG and the E.ON Group are still evident in a number of other companies. Any newly established corporate connection between these groups, especially in energy supply companies, can, given the still high concentration level in the electricity markets and the multitude of other factors favoring oligopolistic parallel behavior, lead to a significant restriction of internal competition between them.</w:t>
      </w:r>
    </w:p>
    <w:p>
      <w:r>
        <w:rPr>
          <w:b/>
        </w:rPr>
        <w:t>[Pages 10–12]</w:t>
      </w:r>
    </w:p>
    <w:p>
      <w:r>
        <w:t>18. The establishment of the production joint venture by the parties 1 and 2 does not lead to the expectation in this specific case that this structural connection will already influence the behavior of RWE AG and the E.ON Group in such a way that the internal competition between them in the electricity markets will be restricted. Although party 2, as an investment company of RWE AG, is directly active in the market for the supply of electricity to end consumers, it is also, like party 1, represented in the field of natural gas supply. However, the joint venture serves solely to provide auxiliary functions in drinking water supply. A coordination of the market behavior of parties 1 and 2 in their water supply markets can also be excluded. The only indirect connection between RWE AG and E.ON Energie AG through the joint venture of the parties therefore appears too remote for any consideration of each other in the third markets for electricity supply to be predicted.</w:t>
      </w:r>
    </w:p>
    <w:p>
      <w:r>
        <w:t>V. SUMMARY</w:t>
      </w:r>
    </w:p>
    <w:p>
      <w:r>
        <w:t>19. For the aforementioned reasons, the Federal Cartel Office has decided not to prohibit the notified merger project.</w:t>
      </w:r>
    </w:p>
    <w:p>
      <w:r>
        <w:t>VI. FEES</w:t>
      </w:r>
    </w:p>
    <w:p>
      <w:r>
        <w:t xml:space="preserve">20. xxx  </w:t>
        <w:br/>
        <w:t xml:space="preserve">21. xxx  </w:t>
        <w:br/>
        <w:t xml:space="preserve">22. xxx  </w:t>
        <w:br/>
        <w:t xml:space="preserve">23. xxx  </w:t>
        <w:br/>
        <w:t>24. xxx</w:t>
      </w:r>
    </w:p>
    <w:p>
      <w:r>
        <w:t xml:space="preserve">25. xxx  </w:t>
        <w:br/>
        <w:t>26. xxx</w:t>
      </w:r>
    </w:p>
    <w:p>
      <w:r>
        <w:t>VII. INSTRUCTION ON LEGAL REMEDIES</w:t>
      </w:r>
    </w:p>
    <w:p>
      <w: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period for substantiating the appeal is one month. It begins with the filing of the appeal and can be extended upon request by the presiding judge of the appellate court. The appeal must contain a statement indicating to what extent the decision is being contested and a request for its amendment or annulment, as well as the facts and evidence on which the appeal is based.</w:t>
      </w:r>
    </w:p>
    <w:p>
      <w:r>
        <w:t xml:space="preserve">The appeal and the appeal substantiation must be signed by a lawyer admitted to a German court.  </w:t>
        <w:br/>
        <w:t>Schultz Mundt Appel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