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https://www.bundeskartellamt.de/SharedDocs/Entscheidung/EN/Fallberichte/Fusionskontrolle/2019/B8-28-19.pdf;jsessionid=DBE07CA9B1C8909D1455D7318BD6ABEA.2_cid508?__blob=publicationFile&amp;v=2</w:t>
      </w:r>
    </w:p>
    <w:p>
      <w:r>
        <w:t>Pages translated : 12</w:t>
      </w:r>
    </w:p>
    <w:p/>
    <w:p>
      <w:r>
        <w:rPr>
          <w:b/>
        </w:rPr>
        <w:t>[Pages 1–3]</w:t>
      </w:r>
    </w:p>
    <w:p>
      <w:r>
        <w:t xml:space="preserve">Case Summary 31 May 2019  </w:t>
        <w:br/>
        <w:t xml:space="preserve">Acquisition by RWE AG of a 16.67 per cent minority stake in E.ON SE  </w:t>
        <w:br/>
        <w:t xml:space="preserve">Sector: Energy Sector  </w:t>
        <w:br/>
        <w:t xml:space="preserve">Ref. no: B8-28/19  </w:t>
        <w:br/>
        <w:t>Date of Decision: 26 February 2019</w:t>
      </w:r>
    </w:p>
    <w:p>
      <w:r>
        <w:t>On 26 February 2019 the Bundeskartellamt cleared the acquisition by RWE AG of a minority holding of 16.67% in E.ON SE. The authority’s investigations showed that the concentration notified with the Bundeskartellamt is not expected to significantly impede effective competition, in particular not to create or strengthen a dominant position.</w:t>
      </w:r>
    </w:p>
    <w:p>
      <w:r>
        <w:t xml:space="preserve">1. Parties concerned, merger project and competent authorities  </w:t>
        <w:br/>
        <w:t xml:space="preserve">a. Companies involved  </w:t>
        <w:br/>
        <w:t xml:space="preserve">RWE is a public limited company under German law and is registered in Essen. The company is active across the entire electricity and gas value chain throughout Europe both in its own right and via group-companies. The undertaking’s main areas of activity are the generation of electricity from conventional sources (especially lignite, nuclear energy, black coal and gas) and energy trading (including energy-related raw materials in both their physical and/or derivative form). In addition RWE currently holds 76.69% of the shares in Innogy, which is particularly active in network operation and the supply of gas and electricity to end customers and holds shares in a large number of regional gas and electricity suppliers.  </w:t>
        <w:br/>
        <w:t>E.ON is a European Company (Societas Europaea) which is also registered in Essen, and is directly and indirectly active (via group companies) in the supply of gas and electricity in a large number of European countries. Its areas of activity include the operation of gas and electricity distribution networks, retail supply to end customers with gas and electricity as well as electricity generation, especially from renewable sources and to a lesser extent from nuclear energy.</w:t>
      </w:r>
    </w:p>
    <w:p>
      <w:r>
        <w:t xml:space="preserve">b. Overall transaction and co-competence of the EU Commission  </w:t>
        <w:br/>
        <w:t xml:space="preserve">The proposed concentration which was notified to the Bundeskartellamt is part of an extensive transaction. Due to the complex nature of the transaction structure chosen by the parties, the EU Commission and the Bundeskartellamt were the competent authorities to examine parts of the overall transaction. The objective of the overall transaction is the extensive exchange of business activities and participations between RWE and E.ON. This includes the following key elements:  </w:t>
        <w:br/>
        <w:t xml:space="preserve">• E.ON acquires RWE’s entire share in Innogy SE (“Innogy”) of 76.69% and makes a voluntary takeover offer to the minority shareholders of RWE’s Innogy unit. After acquiring the shares in Innogy, E.ON will practically transfer Innogy’s entire renewable energy business and Innogy’s gas storage business as well as its share in the Austrian energy supplier KELAG back to RWE. The conventional and renewable electricity generation capacities subsidised under the Renewable Energy Sources Act (EEG) held by regional companies in which Innogy has a stake (reverse carve out assets) are excluded from the latter step of the transaction.  </w:t>
        <w:br/>
        <w:t xml:space="preserve">• RWE acquires by far the main share of E.ON’s renewable energy business as well as the minority shareholdings held by E.ON subsidiary PreussenElektra in the RWE-operated Emsland and Gundremmingen nuclear power plants (transfer assets).  </w:t>
        <w:br/>
        <w:t>• Furthermore, RWE acquires E.ON shares from authorised capital and consequently a share of 16.67% of E.ON’s voting share capital.</w:t>
      </w:r>
    </w:p>
    <w:p>
      <w:r>
        <w:t>Ultimately RWE will thus focus on conventional and renewable (EEG) electricity generation, gas storage and gas and electricity wholesale trading. E.ON will concentrate on the retail supply of electricity and gas to end customers and the operation of distribution networks.</w:t>
      </w:r>
    </w:p>
    <w:p>
      <w:r>
        <w:t>The first two stages of the transaction fall within the competence of the EU Commission because they constitute concentrations within the meaning of the European Community Merger Regulation (ECMR) and the turnovers of the participating companies exceed the thresholds of the ECMR. E.ON’s acquisition of Innogy was notified to the EU Commission on 31 January 2019 (case no. M.8870). With its decision of 7 March 2019 the EU Commission began to closely examine this part of the overall merger project. RWE’s planned acquisition of E.ON’s renewables business and E.ON’s minority shareholdings in the nuclear power plants was notified to the EU Commission on 22 January 2019. This acquisition was also cleared at the same time as the Bundeskartellamt’s clearance of RWE’s acquisition of a 16.67% minority shareholding in E.ON.</w:t>
      </w:r>
    </w:p>
    <w:p>
      <w:r>
        <w:t xml:space="preserve">c. Competence of the Bundeskartellamt and elements of concentration  </w:t>
        <w:br/>
        <w:t xml:space="preserve">RWE’s acquisition of a 16.67% minority shareholding in E.ON fell within the Bundeskartellamt’s area of competence as this does not give RWE control over E.ON and therefore does not constitute a concentration under European law. However, according to the Bundeskartellamt’s assessment it fulfils the elements of a concentration under the German Competition Act, GWB, in respect of the acquisition of a material competitive influence on another undertaking. In an appraisal of all factual and legal circumstances RWE will be able to exercise a material competitive influence on E.ON as a result of the acquisition. The acquisition of the minority shareholding provides RWE with the potential to influence E.ON’s decision-making process and hence its market behaviour, which is founded on its rights flowing from corporate law, and to pursue its own competitive interests when decisions on how to use E.ON’s resources are made. The Bundeskartellamt bases its assessment on the following considerations:  </w:t>
        <w:br/>
        <w:t xml:space="preserve">The 16.67% minority shareholding, in combination with the right to propose the appointment of a member of the supervisory board of E.ON, provides a basis under corporate law for RWE to exert influence on E.ON. This corporate link between E.ON and RWE also has a competitive aspect because both companies will be active on most levels of the gas and electricity sector also post transaction, even if with markedly different areas of focus in the energy industry.  </w:t>
        <w:br/>
        <w:t>According to the Bundeskartellamt’s assessment the competitive influence gained from the corporate link is also significant. In view of the shareholder presence at E.ON annual general meetings, the size of the shareholding, without any effective restriction of voting rights, would provide RWE with de facto more than 25% of the votes at the annual general meeting. This means that decisions, especially on capital measures and planned investments, which require a qualified majority could be blocked. The Investor/Relationship Agreement concluded between RWE as a shareholder and E.ON was deemed insufficient to rule out the assessment that RWE will be able to exercise a material competitive influence on E.ON.</w:t>
      </w:r>
    </w:p>
    <w:p>
      <w:r>
        <w:rPr>
          <w:b/>
        </w:rPr>
        <w:t>[Pages 4–6]</w:t>
      </w:r>
    </w:p>
    <w:p>
      <w:r>
        <w:t>minority shareholding in E.ON, RWE's market share will increase, but the exact impact on the market position will depend on the finalization of the overall transaction and the subsequent market dynamics.</w:t>
      </w:r>
    </w:p>
    <w:p>
      <w:r>
        <w:t>b. Market for the supply of gas</w:t>
        <w:br/>
        <w:t>The Bundeskartellamt also assessed the effects of the merger on the market for the supply of gas. This market includes the production, import, and wholesale supply of natural gas. The assessment focused on the potential horizontal effects of the merger, particularly concerning the competitive dynamics in the gas supply market.</w:t>
      </w:r>
    </w:p>
    <w:p>
      <w:r>
        <w:t>i. Market definition</w:t>
        <w:br/>
        <w:t>The Bundeskartellamt defines the relevant product market for the supply of gas as encompassing all forms of natural gas supply, including pipeline gas and liquefied natural gas (LNG). The market definition considers both domestic production and imports, as well as the wholesale supply to end consumers.</w:t>
      </w:r>
    </w:p>
    <w:p>
      <w:r>
        <w:t>ii. Market position of the undertakings concerned</w:t>
        <w:br/>
        <w:t>Following the completion of the overall transaction, RWE's position in the gas supply market will be influenced by its existing contracts and supply agreements. The merger is expected to enhance RWE's competitive position by allowing for greater integration of its gas supply activities with E.ON's existing infrastructure and customer base. However, the Bundeskartellamt noted that the overall impact on competition would need to be closely monitored to ensure that it does not lead to a significant reduction in competition in the gas supply market.</w:t>
      </w:r>
    </w:p>
    <w:p>
      <w:r>
        <w:t>3. Conclusion</w:t>
        <w:br/>
        <w:t>In conclusion, the Bundeskartellamt's assessment of the merger between RWE and E.ON highlighted the importance of maintaining competitive dynamics in both the electricity and gas supply markets. The authorities emphasized the need for ongoing cooperation and monitoring to ensure that the merger does not adversely affect competition or lead to higher prices for consumers. The decision to approve the merger was based on the findings that, while the transaction would result in changes to market positions, it would not significantly impede effective competition in the relevant markets.</w:t>
      </w:r>
    </w:p>
    <w:p>
      <w:r>
        <w:rPr>
          <w:b/>
        </w:rPr>
        <w:t>[Pages 7–9]</w:t>
      </w:r>
    </w:p>
    <w:p>
      <w:r>
        <w:t>transfer assets as the part of the transaction subject to examination by the EU Commission and in consideration of the sale of the reverse carve out assets, RWE’s market share will increase marginally by less than 1%. However, this increase will no longer apply after the nuclear phase-out.</w:t>
      </w:r>
    </w:p>
    <w:p>
      <w:r>
        <w:t>In order to gain a more accurate picture of RWE’s current market position which reflects the specifics of the market for the first-time sale of electricity, the Bundeskartellamt also determined the Residual Supply Index (RSI). The RSI establishes the periods in which a specific electricity producer is indispensable for meeting the demand for electricity. It takes account of the fact that at every given period the amount of electricity produced has to match the amount required and that storage facilities are only very limited. This index can thus be used to measure to what extent a company holds market power because of its ability to influence the amount of electricity on offer by the way it operates its power plants and - e.g. by strategically withholding capacity - can also significantly influence the electricity price.</w:t>
      </w:r>
    </w:p>
    <w:p>
      <w:r>
        <w:t>In order to determine the RSI, the Bundeskartellamt collected data notably from the transmission system operators and held by the Energy Information Network (Energieinformationsnetz) under Section 12 (4) of the Energy Industry Act (EnWG). The data held by the Energy Information Network contain many data required for determining the RSI, in particular on generation, balancing reserves, commercial reserves and the potential for the positive redispatch of power plants. They substantially cover all power plants active in the market with a net nominal capacity of at least 10 MW and a connection voltage level of at least 110 kV. The values for power plants with a smaller connection voltage level were extrapolated by the Bundeskartellamt from the corresponding values of the Energy Information Network in terms of net nominal capacity; this also applies to power plants with a smaller net nominal capacity. The data were collected for the period between October 2016 and the end of 2018 and hence cover the last two full years of the joint market area with Austria and the first quarter without Austria. Quarter-hourly imports and exports were determined on the basis of data provided by the European Network of Transmission System Operators for Electricity (ENTSO-E data) which were downloaded from the Bundesnetzagentur’s electricity market platform (SMARD system); the same applies to the highest ever observed import value.</w:t>
      </w:r>
    </w:p>
    <w:p>
      <w:r>
        <w:t>In assessing RWE’s current market position, the Bundeskartellamt also took account of and evaluated economic expert opinions on RSI which were submitted during the proceeding. In qualitative terms, the results of the expert opinions on RWE’s current and future market position correspond with the Bundeskartellamt’s assessment. However, the expert opinions are not all based on collected data but on extrapolations from publicly available data. Deviations from the Bundeskartellamt’s concrete quantitative results were due, amongst other factors, to their partially different consideration of key influential factors. The differences lay particularly in the specific determination of available power plant capacity from outside Germany via cross-border interconnections which is not attributable to RWE. In recent years, the Bundeskartellamt evaluated the peak in imports as foreign reserve capacities; it reached a new record level in 2018. The recent increase in this peak level shows that the Bundeskartellamt’s concept responds dynamically to structural developments. Differences also emerged with regard to the modelling of the non-availability of power plants. Here the Bundeskartellamt was able to rely on time-exact, operational-relevant values.</w:t>
      </w:r>
    </w:p>
    <w:p>
      <w:r>
        <w:t>Although the results of the investigations to determine the RSI show that RWE is currently indispensable for meeting the demand for electricity over a not insignificant number of hours in the year, the number of pivotal hours has not yet reached the level necessary to infer a dominant position. Irrespective of the transaction now cleared, the nuclear phase-out by the end of 2022 is likely to mean that the level of indispensability of RWE’s fleet of conventional power plants, and consequently RWE’s market power, will increase significantly. This development could be further exacerbated depending on the concrete implementation of the planned coal phase-out. According to these analyses, the general market developments should lead to RWE gaining market power to a degree in excess of the threshold above which market dominance is inferred.</w:t>
      </w:r>
    </w:p>
    <w:p>
      <w:r>
        <w:t>iii. Effects of the merger</w:t>
      </w:r>
    </w:p>
    <w:p>
      <w:r>
        <w:t>The merger will have only minor, temporary effects on the market for the first-time sale of electricity. The transfer assets to be acquired from E.ON by RWE include in particular shares and drawing rights in two nuclear power plants operated by RWE; this merger transaction was cleared by the EU Commission. In a reciprocal transaction, E.ON plans to acquire non-EEG installations operated by the RWE subsidiary Innogy; this merger project is being closely examined by the EU Commission because of other competition issues. In total, this will result in a minimal increase in RWE’s market power both in terms of German generating capacity as well as the volumes of electricity generated from these parts of the total transaction. This increase in market power will be almost fully diminished at the end of 2022 when the nuclear power stations will be shut down.</w:t>
      </w:r>
    </w:p>
    <w:p>
      <w:r>
        <w:t>RWE’s acquisition of a 16.67% minority holding in E.ON, which was examined by the Bundeskartellamt, was also not expected to significantly impede effective competition. The minority holding will not give RWE control over E.ON’s remaining generation capacities. With this level of holding, RWE will not be in a position to exert its influence in day-to-day operations against E.ON’s interests, e.g. by cutting back production at E.ON’s power plants in RWE’s interest. RWE will, however, have a proportional share of the profits of E.ON’s power plants. However, this will not increase RWE’s possibilities and incentives to withhold capacities to raise prices, which would qualify as a significant impediment to competition under merger control law.</w:t>
      </w:r>
    </w:p>
    <w:p>
      <w:r>
        <w:t>According to the Bundeskartellamt’s RSI analysis, RWE is already pivotal during a considerable number of hours, i.e. indispensable to meet the demand for electricity. However, the number of pivotal hours has not yet reached a level beyond which it can be assumed that RWE holds a dominant position. According to the Bundeskartellamt’s RSI analysis and the economic expert opinions submitted during the proceedings, RWE’s market power could increase significantly until the conclusion and as a result of the nuclear phase-out at the end of 2022, irrespective of the transaction under examination. However, in the wake of the nuclear phase-out, E.ON will lose all its remaining three nuclear power plants; the key element of any potential increase in RWE’s market power resulting from RWE’s acquisition of a minority holding in E.ON will hence cease to exist. Although RWE’s market power is likely to increase as a result of the general constriction of the market, according to the information currently available, at the stage at which it could reach a critical degree, RWE’s market power will no longer be strengthened by its minority holding in E.ON. It could thus be ruled out that the acquisition of the minority holding would significantly impede effective competition.</w:t>
      </w:r>
    </w:p>
    <w:p>
      <w:r>
        <w:t>b. Other electricity markets</w:t>
      </w:r>
    </w:p>
    <w:p>
      <w:r>
        <w:t>The merger project also affected the electricity retail markets. In its decisional practice, the Bundeskartellamt defines the electricity retail markets as four separate relevant product markets, i.e. the supply of interval-metered customers (“RLM customers”), of standard load profile customers (“SLP customers”) under special contracts, of SLP customers under default supply contracts and of SLP customers with electric heating under special contracts. The first two markets are defined as Germany-wide markets; the last two markets are defined as regional markets covering the respective general supply grid area.</w:t>
      </w:r>
    </w:p>
    <w:p>
      <w:r>
        <w:t>If the merger project which was notified to the European Commission is implemented, RWE will no longer be active on the electricity retail markets. Hence the part of the transaction for examination.</w:t>
      </w:r>
    </w:p>
    <w:p>
      <w:r>
        <w:rPr>
          <w:b/>
        </w:rPr>
        <w:t>[Pages 10–12]</w:t>
      </w:r>
    </w:p>
    <w:p>
      <w:r>
        <w:t>examination by the Bundeskartellamt will not lead to any horizontal overlaps on any of the above markets. However, RWE and E.ON will (in future) be in a supplier/customer relationship as E.ON will be active as a buyer of electricity for supply to its final customers on the market for the first-time sale of electricity, on which RWE will be a supplier. Nevertheless, the merger is not expected to increase possibilities and incentives for market foreclosing strategies either in the form of supplier or customer foreclosure.</w:t>
      </w:r>
    </w:p>
    <w:p>
      <w:r>
        <w:t>For a foreclosure strategy to be effective, the supplier or customer concerned generally needs to have an increased degree of market power on the upstream or downstream market. According to the Bundeskartellamt’s investigations, neither of these factors apply in this case: As already mentioned, according to the Bundeskartellamt’s RSI analysis, RWE is already pivotal, i.e. indispensable in meeting the demand for electricity, during a significant number of hours. However, the number of pivotal hours does not currently reach the level necessary to infer a dominant position. Neither does E.ON’s (including Innogy’s) market position on the downstream electricity retail markets pose an increased risk of successful foreclosure strategies.</w:t>
      </w:r>
    </w:p>
    <w:p>
      <w:r>
        <w:t>The fact that most buyers of electricity at the wholesale level meet their electricity requirements via longer term contracts also has to be taken into consideration. Hence it would only be feasible for RWE as a supplier to foreclose access to supplies to the disadvantage of E.ON’s competitors at very specific, sporadic periods, and only for those quantities of electricity which are not hedged via long-term contracts. At all other hours of the year customers can switch to numerous other alternative suppliers. Apart from RWE’s extremely limited ability to foreclose E.ON’s competitors from procuring electricity, there is also no evidence to suggest that RWE has sufficient incentive to do so. If RWE were to forgo electricity sales to E.ON’s competitors by withholding capacity, this would directly result in losses of revenue and profit, whereas by comparison E.ON’s possible sales advantages over its competitors would only benefit its minority shareholder RWE by 16.67%.</w:t>
      </w:r>
    </w:p>
    <w:p>
      <w:r>
        <w:t>Also there is no evidence that RWE has adequate possibilities and incentives to pursue a customer foreclosure strategy. Even if RWE were able to induce E.ON to purchase its electricity exclusively from RWE, the other electricity producers, due to E.ON’s lack of market power, would still have a sufficient number of competitors which they could supply and so realise their electricity sales. Furthermore, according to the Bundeskartellamt’s findings, E.ON also has insufficient interest to wholly commit itself to RWE as its electricity supplier.</w:t>
      </w:r>
    </w:p>
    <w:p>
      <w:r>
        <w:t>c. Gas markets</w:t>
      </w:r>
    </w:p>
    <w:p>
      <w:r>
        <w:t>The merger also affected the gas markets. In its decision in the EWE/VNG merger proceeding, the Bundeskartellamt had abandoned its previous differentiation between the supply of supra-regional gas transmission companies (1st level) and regional gas transmission companies (2nd level). Since then both market levels have been classified as one single gas wholesale level (for high calorific gas and low calorific gas together), including traders; a single market is defined for the supply of gas by wholesalers to regional and local distributors. Since the Bundeskartellamt’s above decision the gas wholesale market is no longer defined regionally based on network areas but as a national market, and hence no differentiation is made according to the GASPOOL and Net Connect Germany (“NCG”) market areas.</w:t>
      </w:r>
    </w:p>
    <w:p>
      <w:r>
        <w:t>On a single Germany-wide gas wholesale market, in which both supra-regional gas transmission companies which produce and/or import gas themselves, and regional gas transmission companies and traders are active, RWE as a purely importing supra-regional gas transmission company achieves a market share of less than 5% of gas sales based on the total consumption of the end customers connected to the gas transmission and gas distribution networks. Since the spinoff of Uniper SE from E.ON in 2016 and its sale to the Finnish energy company Fortum Oyj in 2018, E.ON is no longer active on the gas wholesale market. The merger project did not therefore result in horizontal overlaps between the parties to the merger. As in the electricity markets, RWE and E.ON are in a vertical supplier/customer relationship in the gas markets. In view of RWE’s market position as described above as a supplier of gas on the Germany-wide market and the unproblematic market shares of E.ON and Innogy as buyers of gas for supply to RLM and SLP customers, the merger was not expected to increase the possibilities and incentives for any successful market foreclosure strategies. A significant impediment to effective competition could thus be ruled out in this area too.</w:t>
      </w:r>
    </w:p>
    <w:p>
      <w:r>
        <w:t>The effects of the merger on the gas retail markets raised no competition concerns either. In its decisional practice the Bundeskartellamt defines the gas retail markets in a similar way as the electricity retail markets, i.e. as three separate relevant product markets: the supply of RLM customers, of SLP customers under special contracts and of SLP customers under default contracts. Whilst the first two markets are defined as Germany-wide, the last market is a regional market and covers the respective general supply grid area. The merger only results in horizontal overlaps in the supply of gas to interval-metered customers because RWE (without Innogy) will exclusively supply very large industrial customers with gas in the future. RWE (without Innogy) has a market share of less than 10% of the market for the supply of RLM customers (with a total volume of 454 TWh), whereas E.ON’s share of the supply of RLM customers is less than 5%. In view of the low aggregate market share of RWE and E.ON of less than 10%, negative effects of the merger on the supply of gas to RLM customers can be excluded. The merger does not create any horizontal overlaps on all other gas retail markets (supply of SLP customers under special contracts and default supply contracts).</w:t>
      </w:r>
    </w:p>
    <w:p>
      <w:r>
        <w:t>Any negative effects of the merger on competition in the operation of underground natural gas storage facilities could also be ruled out. Based on its decision in the EWE/VNG merger proceeding, the Bundeskartellamt consistently defines a single product market for the operation of underground natural gas storage facilities which includes both porous rock and cavern storage facilities. In geographical terms this market includes not only the gas storage facilities located in Germany but also the Haidach and 7fields storage facilities in Austria, which are connected to the German gas transmission network. RWE will retain Innogy’s gas storage business which, however, accounts for a storage volume of less than 10% of the total working gas capacity in Germany. E.ON only has an indirect holding in two small cavern storage facilities with a working gas capacity which accounts for less than 5% of the total storage volume in Germany. E.ON had previously transferred its other gas storage business to Uniper SE, which has since been sold to Fortum. In view of these comparably low market shares, any negative effects on competition resulting from the merger could already be ruled out in this area of activity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