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http://www.bundeskartellamt.de/SharedDocs/Entscheidung/DE/Entscheidungen/Missbrauchsaufsicht/2017/B8-30-13.pdf;jsessionid=3780E5D82BE95CABE21149B8B3410033.1_cid387?__blob=publicationFile&amp;v=2</w:t>
      </w:r>
    </w:p>
    <w:p>
      <w:r>
        <w:t>Pages translated : 15</w:t>
      </w:r>
    </w:p>
    <w:p/>
    <w:p>
      <w:r>
        <w:rPr>
          <w:b/>
        </w:rPr>
        <w:t>[Pages 1–3]</w:t>
      </w:r>
    </w:p>
    <w:p>
      <w:r>
        <w:t>8. Decision Division</w:t>
        <w:br/>
        <w:t>B 8 – 30/13</w:t>
        <w:br/>
        <w:t>ADMINISTRATIVE PROCEDURE</w:t>
        <w:br/>
        <w:t>DECISION PURSUANT TO § 32 b GWB</w:t>
        <w:br/>
        <w:t>– Public Version –</w:t>
        <w:br/>
        <w:t>Decision</w:t>
        <w:br/>
        <w:t>In the administrative procedure</w:t>
        <w:br/>
        <w:t>innogy SE,</w:t>
        <w:br/>
        <w:t>as legal successor of</w:t>
        <w:br/>
        <w:t>RWE Energiedienstleistungen GmbH,</w:t>
        <w:br/>
        <w:t>Opernplatz 1</w:t>
        <w:br/>
        <w:t>45128 Essen</w:t>
        <w:br/>
        <w:t>– Involved Party –</w:t>
        <w:br/>
        <w:t>Legal Representatives:</w:t>
        <w:br/>
        <w:t>Clifford Chance Deutschland LLP</w:t>
        <w:br/>
        <w:t>Attorney Dr. Joachim Schütze</w:t>
        <w:br/>
        <w:t>Attorney Dr. Florian Wiesner</w:t>
        <w:br/>
        <w:t>Königsallee 59</w:t>
        <w:br/>
        <w:t>40215 Düsseldorf</w:t>
        <w:br/>
        <w:t>the 8th Decision Division of the Federal Cartel Office has decided on February 13, 2017:</w:t>
        <w:br/>
        <w:t>1. The commitment offered by the involved party in a letter to the decision division dated January 25, 2017 is binding.</w:t>
        <w:br/>
        <w:t>2. The proceedings against the involved party will be discontinued in accordance with § 32 b para. 1 sentence 2 GWB.</w:t>
        <w:br/>
        <w:t>3. A revocation or adjustment of the order is possible pursuant to § 32 b para. 2 GWB.</w:t>
        <w:br/>
        <w:t>4. The fee for the procedure including the decision amounts to […] €.</w:t>
      </w:r>
    </w:p>
    <w:p>
      <w:r>
        <w:t>- 2 -</w:t>
        <w:br/>
        <w:t>Reasons</w:t>
        <w:br/>
        <w:t>A. Facts</w:t>
        <w:br/>
        <w:t>(1) The business – including the district heating business – of RWE Energiedienstleistungen GmbH (hereinafter: RWE ED), as the originally involved party in the proceedings, has been transferred to the involved party innogy SE (hereinafter: innogy) by way of universal succession. Innogy is an energy supply company based in Essen. The company was newly established as part of a corporate restructuring of RWE AG, Essen, in spring 2016 and continues the business areas of Renewable Energies, Networks &amp; Infrastructure, and Sales of RWE AG under a new name. Even after the IPO of innogy in October 2016, RWE AG remains its majority shareholder.</w:t>
        <w:br/>
        <w:t>(2) The activities of the former RWE ED, previously operating under the name FAVORIT Fernwärme GmbH, included in particular the generation and supply of district heating in various local supply areas. Most of these district heating networks originated from the acquisition of the district heating business of the ExxonMobil subsidiary Esso Deutschland GmbH, Hamburg, in 2009. In the period under consideration from 2010 to 2012, RWE ED generated revenues of approximately […] €, the majority of which was attributable to the district heating sector.</w:t>
        <w:br/>
        <w:t>(3) By letter dated March 6, 2013, the decision division initiated proceedings against the then RWE ED on the suspicion of abusively excessive district heating prices based on § 19 para. 1 in conjunction with para. 2 no. 2 GWB. The initial suspicion arose from a revenue comparison conducted as part of the Federal Cartel Office's sector inquiry into district heating based on revenue and structural data for the years 2007 and 2008.</w:t>
        <w:br/>
        <w:t>(4) To investigate this initial suspicion within the framework of the present proceedings, a questionnaire for the collection of revenue, quantity, and structural data for district heating supply for the years 2010 to 2012 was sent to the involved party along with the letter initiating the proceedings. Additionally, information about the company and the contracts relevant to district heating supply was requested.</w:t>
        <w:br/>
        <w:t>(5) Since the involved party is based in North Rhine-Westphalia, the state cartel authority in Düsseldorf was informed of the initiation of proceedings on March 7, 2013.</w:t>
        <w:br/>
        <w:t>(6) The evaluation of the data collected from the involved party by the decision division revealed that the average district heating revenues per kWh during the three-year period from 2010 to 2012 in several networks of the involved party were significantly higher than the corresponding revenues of other district heating supply areas used for comparison. The decision division communicated these initial investigation results to the involved party as part of a preliminary status report by letter dated May 12, 2014. This report also explained the investigation concept and provided the involved party with an opportunity to comment.</w:t>
        <w:br/>
        <w:t>(7) The involved party took the opportunity to comment in a letter dated […]. The submissions of the involved party were discussed in a personal meeting on […] with the decision division and subsequently supplemented in writing and by further documents. Following further written and oral discussions, particularly personal meetings on […] and […] between the involved party and the decision division, the involved party indicated in the meeting on […] that it would provide a suitable commitment pursuant to § 32 b GWB.</w:t>
        <w:br/>
        <w:t>(8) Nevertheless, the involved party maintains its view that there were no abusively excessive district heating revenues in the district heating projects examined by the decision division during the three-year period from 2010 to 2012. According to the involved party, district heating projects, unlike electricity or gas supplies, should be considered as infrastructure projects in their entirety and over their entire project duration. A comparison period of three years is therefore not appropriate for such infrastructure projects, which typically have supply durations of over 50 years, as only a random temporal snapshot would be considered. From the perspective of the involved party, the investments of the district heating supplier must be refinanced over the entire duration, whereby each district heating supplier must make a predictive decision regarding its investment, particularly with regard to changes in the markets for the procurement of maintenance materials and services, maintenance services, and fuels over the entire project duration. The type of primary energy and the network dimensioning of the district heating supply are often determined by the municipalities, so that a</w:t>
      </w:r>
    </w:p>
    <w:p>
      <w:r>
        <w:rPr>
          <w:b/>
        </w:rPr>
        <w:t>[Pages 4–6]</w:t>
      </w:r>
    </w:p>
    <w:p>
      <w:r>
        <w:t>- 4 -</w:t>
        <w:br/>
        <w:t>district heating supplier has no possibility, due to the heat price regulation agreed upon at the time of contract conclusion at the beginning of the project, to compensate for additional costs in maintenance/repair, additional costs in heat generation, or lower revenues due to reduced consumption or lower network utilization through corresponding price increases. An adjustment of the heat prices takes place according to the AVBFernwärmeV exclusively in the event of changes in clearly defined cost factors through price adjustment clauses.</w:t>
        <w:br/>
        <w:t>Finally, for the party involved, the district heating projects compared by the decision division are individual investment projects and exhibit structurally significant differences from the comparison projects referenced by the decision division. These include, among others, the age of the facilities, the fuel used, customer density, network length and utilization, as well as network losses and supplementary services provided by the supplier. According to the party involved, the district heating projects compared by the decision division are therefore not comparable with each other.</w:t>
        <w:br/>
        <w:t>(9) The proceedings raise complex factual and legal questions. In particular, the customary vertical integration of generation, network, and distribution in district heating, as well as the combined production of electricity and heat, complicate the comparison of companies and supply areas. There is a multitude of technical and economically relevant differences and justifications that require extensive investigations. The question of whether and, if so, to what extent the district heating prices charged by the party involved in the various networks were justified in comparison could not be conclusively clarified, as further extensive investigations would be necessary with the party involved as well as with comparison companies and the industry.</w:t>
        <w:br/>
        <w:t>(10) Although the party involved and the decision division continue to maintain their differing positions, the parties have agreed, for procedural economic reasons, particularly to avoid further delays in the conclusion of the proceedings due to investigations and possibly subsequent litigation, to conclude the proceedings through a commitment from the party involved.</w:t>
        <w:br/>
        <w:t>(11) In a letter dated […] innogy submitted a binding offer of commitment to the decision division, which includes the following points:</w:t>
        <w:br/>
        <w:t>- innogy commits to refund a total of €12.3 million in district heating charges to customers in 17 district heating supplies mentioned below. The refund will be divided into two tranches as a settlement amount within the framework of the annual statements, primarily in the next two calendar years 2017 and 2018; in individual cases already settled at the beginning of 2017, one tranche may exceptionally be postponed to the beginning of 2019.</w:t>
        <w:br/>
        <w:t>- To enable a practical distribution, the total refund volume across all mentioned district heating supplies will be allocated according to a uniform key. To this end, a refund amount per kilowatt (kW) will be determined from the total refund amount and the sum of the determined connection values of all 17 district heating supplies covered by the commitment. The amount per customer is then calculated from their respective connection value (in kW) and the refund amount per kW.</w:t>
        <w:br/>
        <w:t>- The refund will be made to customers in the following district heating supplies: Bensberg-Refrath, Dortmund-Kirchlinde, Dortmund-Schüren, Elmshorn, Hanhoopsfeld, Hochdahl, Langen-Oberlinden, Leverkusen-Steinbüchel, Marmstorf, Moers-Kapellen, Monheim, Rahlstedt-Meiendorferstraße, Rahlstedt-Ost, Schwalbach-Limes, and Wuppertal-Hilgershöhe.</w:t>
        <w:br/>
        <w:t>- In two other supplies, Unna-Königsborn and Mainz-Rodelberg, the customers are no longer contractual partners of innogy. The supply in Unna has been transferred to Stadtwerke Unna GmbH, and the supply in Mainz-Rodelberg has been taken over by Mainzer Wärme PLUS GmbH, in which innogy holds a minority stake. Therefore, innogy will instruct the local supplier to forward the determined amount in these cases to the affected customers and will endeavor to ensure that the customers there receive the refunds through the local suppliers.</w:t>
        <w:br/>
        <w:t>(12) The party involved was given the opportunity to comment on the draft decision pursuant to § 32 b GWB in a letter dated December 19, 2016.</w:t>
        <w:br/>
        <w:t>B. Legal Assessment</w:t>
        <w:br/>
        <w:t>I. Commitment Offer</w:t>
        <w:br/>
        <w:t>(13) The offered commitment is suitable, based on the current factual and knowledge state of the decision division, to dispel the existing concerns of the decision division regarding the contested competitive behavior, according to the preliminary assessment. Therefore, the decision division declares the commitment to be binding within the scope of its discretion and terminates the proceedings subject to the possibilities contained in § 32 b para. 2 GWB. The discontinuation of proceedings means that the decision division in the area of district heating will also not address innogy's pricing in the subsequent years 2013 to 2015 under antitrust law.</w:t>
        <w:br/>
        <w:t>(14) The preliminary assessment of the decision division is based on the considerations presented below (under III.).</w:t>
        <w:br/>
        <w:t>II. Jurisdiction</w:t>
        <w:br/>
        <w:t>(15) According to § 48 para. 2 GWB, the Federal Cartel Office generally exercises the tasks and powers assigned to the cartel authority in the GWB if the effect of the anti-competitive behavior extends beyond the territory of a state. The participant has not asserted the local or substantive lack of jurisdiction of the Federal Cartel Office (§ 55 para. 2 GWB).</w:t>
        <w:br/>
        <w:t>III. Substantive Assessment</w:t>
        <w:br/>
        <w:t>(16) According to the preliminary competitive assessment by the decision division, the participant has violated § 19 para. 1 in conjunction with para. 2 no. 2 GWB (prohibition of abuse) by demanding abusively excessive district heating prices. The prices of the participant deviated during the observation period from 2010 to 2012 in several supply areas from those prices that would have likely arisen under effective competition, according to the preliminary evaluation of the decision division.</w:t>
        <w:br/>
        <w:t>1. Norm Addressing</w:t>
        <w:br/>
        <w:t>(17) The participant is, in relation to its activity as a district heating supplier, an addressee of the prohibition of abuse. In line with the case law, it is regularly assumed that the district heating supplier, which is usually the sole supplier in the respective affected supply area, holds a dominant market position when supplying end customers with district heating.</w:t>
        <w:br/>
        <w:t>4 See BGH, judgment of July 9, 2002, KZR 30/00 – District Heating for Börnsen; BGH, decision of December 10, 2008, KVR 2/08 – Stadtwerke Uelzen; OLG Düsseldorf, decision of August 4, 2010, VI 2 (Kart) 8/09 (V).</w:t>
      </w:r>
    </w:p>
    <w:p>
      <w:r>
        <w:rPr>
          <w:b/>
        </w:rPr>
        <w:t>[Pages 7–9]</w:t>
      </w:r>
    </w:p>
    <w:p>
      <w:r>
        <w:t>- 7 -</w:t>
        <w:br/>
        <w:t>a) Market Definition</w:t>
        <w:br/>
        <w:t>(18) The decision division, in its previous practice, assumes a market for the supply of district heating to end consumers that is spatially limited to the respective local network area.</w:t>
        <w:br/>
        <w:t>(19) The substantive market definition is based on established case law according to the demand market concept, whereby all products or services that are functionally interchangeable from the perspective of a reasonable consumer without switching costs and efforts are attributed to the relevant (supply) market.5</w:t>
        <w:br/>
        <w:t>(20) With regard to heat supply, a distinction must first be made between the decision for a heating system and the ongoing procurement of the corresponding energy carrier: When a customer is faced with the purchase of a new heating system, the different heating systems compete with each other, provided they are available on-site, may be used, and there is no obligation to procure district heating. However, once the customer has decided on a heating system – and thus the energy carrier to be procured in the future – separate markets for the energy carriers must generally be assumed for subsequent heat or fuel procurement.</w:t>
        <w:br/>
        <w:t>(21) The Federal Court of Justice stated in its decision "District Heating for Börnsen"6 that there is no unified market for district heating and other heating types. This view has been confirmed in the case "City Utilities Uelzen."7</w:t>
        <w:br/>
        <w:t>(22) According to the case law of the Federal Court of Justice, district heating is involved when heat is produced independently by a third party from a heating system not owned by the building owner and supplied to others based on business considerations, regardless of the proximity of the heating system to the supplied building or the existence of a larger pipeline network.8</w:t>
        <w:br/>
        <w:t>(23) Spatially, the relevant market for the supply of district heating corresponds to the area served by the respective local district heating network. Since these are closed pipeline systems that are not interconnected, customers connected to one network cannot generally be supplied from other networks without further ado.</w:t>
        <w:br/>
        <w:t>(24) For the present examination, each district heating supply area served by a local network of the party involved is to be regarded as a separate spatially relevant market.</w:t>
        <w:br/>
        <w:t>b) Market Dominance</w:t>
        <w:br/>
        <w:t>(25) According to the preliminary view of the decision division, the party involved holds a dominant market position in each of the district heating supply areas to be considered in accordance with § 18 para. 1 GWB. The party involved, on the other hand, argues that the supply of district heating is indeed in competition with alternative energy carriers, as customers can freely choose where there is no public-law obligation to connect and use – and this condition is met in the affected networks with one exception. However, this question can ultimately remain open for the present decision, as the proceedings could be concluded based on the commitment.</w:t>
        <w:br/>
        <w:t>(26) According to the case law of the Higher Regional Court of Düsseldorf, district heating supply constitutes an almost ideal-type monopoly market.9 The question of the extent to which a connection holder is already legally prevented from changing the type of heating is not relevant in this context. If the costs for consumers when switching from their previous heating type are already very high for natural gas or heating oil, the costs for existing district heating consumers increase even further due to the requirement for subsequent chimney installation when converting. The dominant position of the district heating supplier is further reinforced by the fact that, unlike in other cases of pipeline-based energy supply, third-party transmission is generally not considered.10</w:t>
        <w:br/>
        <w:t>(27) In line with this case law, it is therefore regularly assumed that the district heating supplier has a dominant position in the supply of district heating to end consumers. The party involved is also the sole provider of district heating supplies in the relevant district heating supply areas in question.</w:t>
        <w:br/>
        <w:t>9 See OLG Düsseldorf, decision of August 4, 2010, VI 2 (Kart) 8/09 (V).</w:t>
        <w:br/>
        <w:t>10 See OLG Düsseldorf, decision of August 4, 2010, VI 2 (Kart) 8/09 (V).</w:t>
      </w:r>
    </w:p>
    <w:p>
      <w:r>
        <w:t>- 9 -</w:t>
        <w:br/>
        <w:t>2. Conduct</w:t>
        <w:br/>
        <w:t>(28) According to the preliminary assessment of the decision division, the party involved has behaved abusively by demanding excessive charges in the following 17 district heating supply areas during the period under consideration: Bensberg-Refrath, Dortmund-Kirchlinde, Dortmund-Schüren, Elmshorn, Hanhoopsfeld, Hochdahl, Langen-Oberlinden, Leverkusen-Steinbüchel, Mainz-Rodelberg, Marmstorf, Moers-Kapellen, Monheim, Rahlstedt-Meiendorferstraße, Rahlstedt-Ost, Schwalbach-Limes, Unna-Königsborn, and Wuppertal-Hilgershöhe. Other networks of the party involved are no longer subject to consideration. Abusive conduct is present according to § 19 para. 1 in conjunction with para. 2 no. 2 GWB when a company demands charges that deviate from those that would arise with a high probability under effective competition.</w:t>
        <w:br/>
        <w:t>a) Comparative Market Method</w:t>
        <w:br/>
        <w:t>(29) To examine whether a company demands charges that deviate from those that would arise with a high probability under effective competition, both the comparative market method and cost control are recognized.11 In this case, the spatial comparative market method was applied in the form of revenue comparison.</w:t>
        <w:br/>
        <w:t>(30) The advantages of revenue comparison lie particularly in the fact that the quantity structure can be captured considering all purchase cases as well as mixed pricing systems.12 In contrast, a tariff comparison with predefined typical cases can depend heavily on the chosen purchase case, which may not be equally typical for the supply areas to be compared. This approach and its justification have already been recognized multiple times by the courts, including the highest courts.13</w:t>
        <w:br/>
        <w:t>(31) The revenue comparison was carried out based on the average revenue for the entire three-year period of the calendar years 2010 to 2012. Given sometimes significant price changes between the years, particularly due to price adjustment clauses and their reference sizes, an average price level could thus be considered over a longer period. The three-year average revenue (in cents/kWh) was determined from the sum of the achieved heat revenues over the three years and the sum of the billed</w:t>
        <w:br/>
        <w:t>11 See BGH, decision of May 15, 2012, KVR 51/11 – Water Prices Calw.</w:t>
        <w:br/>
        <w:t>12 Confirmed by OLG Düsseldorf, decision of February 24, 2014, Vl-2 Kart 4/12 (V) – Berliner Wasserbetriebe, para. 140 (cited according to juris).</w:t>
        <w:br/>
        <w:t>13 See most recently OLG Düsseldorf, decision of February 24, 2014, Vl-2 Kart 4/12 (V) – Berliner Wasserbetriebe.</w:t>
      </w:r>
    </w:p>
    <w:p>
      <w:r>
        <w:rPr>
          <w:b/>
        </w:rPr>
        <w:t>[Pages 10–12]</w:t>
      </w:r>
    </w:p>
    <w:p>
      <w:r>
        <w:t>- 10 -</w:t>
        <w:br/>
        <w:t>heat quantity over the three years. The calculation included the total heat revenue achieved in a supply network, which encompasses all customers and both the consumption-dependent revenues from unit prices as well as the fixed, measurement, or billing prices that arise independently of consumption.</w:t>
        <w:br/>
        <w:t>(32) In previous price abuse proceedings of the decision division, a net average revenue adjusted for charges was used as a comparative figure.14 The starting point is the net total revenue actually achieved by the companies (in one year) (i.e., excluding value-added tax). If various taxes, charges, or other fees are included that are not controllable by the affected company and are merely passed on by it, the total revenue is adjusted for these components. Similar to the concession fee commonly paid in other supply areas, the partially paid fee for the use of roads in district heating supply is agreed upon in a private law contract between the municipality as the holder of the road rights and the district heating supplier. There is no uniform determination of the calculation basis or an upper limit as in the KAV for the areas of electricity and gas. Nevertheless, the decision division assumed these costs to be uncontrollable for the present proceedings and consequently adjusted the heating revenues for the paid fees and considered the revenue without the fee for the comparison of revenues.</w:t>
        <w:br/>
        <w:t>(33) The revenues thus determined in the supply areas of the party involved were compared to the corresponding revenues of the supply areas used for comparison. In selecting the comparison network areas, the decision division took into account various structural characteristics and key figures for heat generation and distribution. Those supply areas of the party involved were examined and subjected to closer scrutiny, whose average revenues exhibited a conspicuously higher level compared to the corresponding comparative value.</w:t>
        <w:br/>
        <w:t>(34) The party involved raised both fundamental methodological concerns regarding the suitability of the revenue comparison for district heating projects and questioned the specific comparability of its supply areas with the comparison areas preliminarily selected by the decision division. According to the party involved, at least some of the preliminarily selected comparison areas were not sufficiently similar when measured against the structural factors and key figures considered, and further parameters relevant to the cost structure were not taken into account at all (for details, see below under b). Therefore, the preliminarily considered comparison revenues could not render the revenues of the affected supply areas of the party involved abusive.</w:t>
        <w:br/>
        <w:t>b) Substantive Justification</w:t>
        <w:br/>
        <w:t>(35) Within the framework of the spatial comparative market method, correction surcharges or discounts must generally be taken into account due to objective structural differences, as the comparison markets are usually not structurally fully comparable to the affected market. Such correction factors serve to establish the comparability of the markets under consideration. Any remaining uncertainties must be accounted for by a safety surcharge on the final result. All objective parameters of the affected market that a comparison company would also have to consider if it were to operate there are relevant as correction factors. However, only company-independent additional costs, not company-specific parameters, should generally be taken into account.15</w:t>
        <w:br/>
        <w:t>(36) The party involved presented various reasons that, in its view, require correction surcharges on the comparison revenue or justify a higher revenue than that of the comparison areas or comparison groups used, as these were at least in many cases not sufficiently similar structurally. The arguments included a lack of comparability due to different network structures, plant technologies, fuels, offtake structures, and supply density. Furthermore, the party involved pointed out additional cost-relevant parameters that were not considered in the preliminary revenue comparison, e.g., there are supplies with or without hot water supply, with or without individual billing in multi-family houses, as well as delivery boundaries before or after the house connection or different complexity levels of a project, which lead to varying maintenance and repair costs.</w:t>
        <w:br/>
        <w:t>(37) A number of the justification reasons presented by the party involved for higher costs in the affected supply areas appear substantiated to the decision division, so that they can justify a significant part of the revenue excess in comparison. However, further extensive investigations would be required for each individual supply area of the party involved and for a corresponding number of comparison companies or areas to clarify the matter. Due to the willingness of the party involved to provide customers with a refund as part of the commitment made to the decision division, the decision division was able to forgo a complete and further resource-intensive investigation of the facts regarding the asserted justification reasons.</w:t>
        <w:br/>
        <w:t>3. Assessment of the Commitment</w:t>
        <w:br/>
        <w:t>(38) The commitment offered by the party involved (described above under para. 11) to refund leads promptly to a financial relief for the affected customers, compensating for the party's conduct regarding possible excessive prices in the period under consideration from 2010 to 2012.</w:t>
        <w:br/>
        <w:t>(39) The acceptance of the commitment and the conclusion of the proceedings lead to a quicker effective result for the customers than a continuation of the proceedings. A corresponding order could only have been issued significantly later due to further necessary investigations. Additional delays due to years of very resource-intensive litigation would also have had to be accepted.</w:t>
      </w:r>
    </w:p>
    <w:p>
      <w:r>
        <w:rPr>
          <w:b/>
        </w:rPr>
        <w:t>[Pages 13–15]</w:t>
      </w:r>
    </w:p>
    <w:p>
      <w:r>
        <w:t>- 13 -</w:t>
        <w:br/>
        <w:t>C. Fee</w:t>
        <w:br/>
        <w:t>(40) […]</w:t>
      </w:r>
    </w:p>
    <w:p>
      <w:r>
        <w:t>- 14 -</w:t>
        <w:br/>
        <w:t>D. Instructions on Legal Remedies</w:t>
        <w:br/>
        <w:t>(41) 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br/>
        <w:t>(42) The appeal must be substantiated by a written submission filed with the Federal Cartel Office or the appellate court. The deadline for substantiating the appeal is two months. It begins with the delivery of the contested decision and can be extended upon request by the presiding judge of the appellate court. The appeal substantiation must include a statement indicating the extent to which the decision is being contested and the request for its amendment or annulment, as well as the facts and evidence, including any new ones, on which the appeal is based.</w:t>
        <w:br/>
        <w:t>(43) The appeal and the appeal substantiation must be signed by a lawyer. The appeal does not have suspensive effect. Upon request, the appellate court may order the suspensive effect of the appeal in whole or in part.</w:t>
        <w:br/>
        <w:t>Prof. Dr. Carsten Becker Dr. Juliane Lagemann Dr. Katharina Wacker</w:t>
      </w:r>
    </w:p>
    <w:p>
      <w:r>
        <w:t>- 15 -</w:t>
        <w:br/>
        <w:t>Table of Contents</w:t>
        <w:br/>
        <w:t>A. Facts ........................................................................................................... 2</w:t>
        <w:br/>
        <w:t>B. Legal Assessment ...................................................................................... 5</w:t>
        <w:br/>
        <w:t>I. Commitment Undertaking ........................................................................... 5</w:t>
        <w:br/>
        <w:t>II. Jurisdiction ................................................................................................... 6</w:t>
        <w:br/>
        <w:t>III. Substantive Assessment .............................................................................. 6</w:t>
        <w:br/>
        <w:t>1. Norm Addressee Characteristic .................................................................................. 6</w:t>
        <w:br/>
        <w:t>a) Market Definition .................................................................................................... 7</w:t>
        <w:br/>
        <w:t>b) Market Dominance .................................................................................................. 8</w:t>
        <w:br/>
        <w:t>2. Conduct .................................................................................................................... 9</w:t>
        <w:br/>
        <w:t>a) Comparative Market Method .................................................................................. 9</w:t>
        <w:br/>
        <w:t>b) Objective Justification .......................................................................................... 11</w:t>
        <w:br/>
        <w:t>3. Assessment of the Commitment Undertaking .......................................................... 12</w:t>
        <w:br/>
        <w:t>C. Fee ........................................................................................................... 13</w:t>
        <w:br/>
        <w:t>D. Instructions on Legal Remedies ................................................................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