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https://www.bundeskartellamt.de/SharedDocs/Entscheidung/DE/Entscheidungen/Missbrauchsaufsicht/2017/B8-31-13.pdf;jsessionid=72D15DAFECCBE3782F675A140FE8A10E.2_cid381?__blob=publicationFile&amp;v=2</w:t>
      </w:r>
    </w:p>
    <w:p>
      <w:r>
        <w:t>Pages translated : 22</w:t>
      </w:r>
    </w:p>
    <w:p/>
    <w:p>
      <w:r>
        <w:rPr>
          <w:b/>
        </w:rPr>
        <w:t>[Pages 1–3]</w:t>
      </w:r>
    </w:p>
    <w:p>
      <w:r>
        <w:t xml:space="preserve">8. Decision-Making Department  </w:t>
        <w:br/>
        <w:t xml:space="preserve">B 8 – 31/13  </w:t>
        <w:br/>
        <w:t xml:space="preserve">ADMINISTRATIVE PROCEDURE  </w:t>
        <w:br/>
        <w:t xml:space="preserve">DECISION PURSUANT TO § 32 b GWB  </w:t>
        <w:br/>
        <w:t xml:space="preserve">– Public Version –  </w:t>
        <w:br/>
        <w:t xml:space="preserve">Decision  </w:t>
        <w:br/>
        <w:t xml:space="preserve">In the administrative procedure  </w:t>
        <w:br/>
        <w:t xml:space="preserve">1. Danpower GmbH – Participant 1 –  </w:t>
        <w:br/>
        <w:t xml:space="preserve">Otto-Braun-Platz 1  </w:t>
        <w:br/>
        <w:t xml:space="preserve">14467 Potsdam  </w:t>
        <w:br/>
        <w:t xml:space="preserve">2. Danpower Energie Service GmbH – Participant 2 –  </w:t>
        <w:br/>
        <w:t xml:space="preserve">Otto-Braun-Platz 1  </w:t>
        <w:br/>
        <w:t xml:space="preserve">14467 Potsdam  </w:t>
        <w:br/>
        <w:t xml:space="preserve">3. Bitterfelder Fernwärme GmbH – Participant 3 –  </w:t>
        <w:br/>
        <w:t xml:space="preserve">Bahnhofstr. 30  </w:t>
        <w:br/>
        <w:t xml:space="preserve">06749 Bitterfeld-Wolfen  </w:t>
        <w:br/>
        <w:t xml:space="preserve">4. EKT Energie- und Kommunal-Technologie GmbH – Participant 4 –  </w:t>
        <w:br/>
        <w:t xml:space="preserve">Otto-Braun-Platz 1  </w:t>
        <w:br/>
        <w:t xml:space="preserve">14467 Potsdam  </w:t>
        <w:br/>
        <w:t xml:space="preserve">5. Wärmeversorgung Wolgast GmbH – Participant 5 –  </w:t>
        <w:br/>
        <w:t xml:space="preserve">Burgstr. 6a  </w:t>
        <w:br/>
        <w:t xml:space="preserve">17438 Wolgast  </w:t>
        <w:br/>
        <w:t xml:space="preserve">Authorized representatives for Participants 1 to 5:  </w:t>
        <w:br/>
        <w:t xml:space="preserve">Noerr LLP  </w:t>
        <w:br/>
        <w:t xml:space="preserve">Attorney Dr. Kathrin Westermann  </w:t>
        <w:br/>
        <w:t xml:space="preserve">Attorney Peter Stauber, LL.M.  </w:t>
        <w:br/>
        <w:t xml:space="preserve">Charlottenstraße 57  </w:t>
        <w:br/>
        <w:t>10117 Berlin</w:t>
      </w:r>
    </w:p>
    <w:p>
      <w:r>
        <w:t xml:space="preserve">- 2 -  </w:t>
        <w:br/>
        <w:t xml:space="preserve">The 8th Decision-Making Department of the Federal Cartel Office decided on February 13, 2017:  </w:t>
        <w:br/>
        <w:t xml:space="preserve">1. The commitments offered by Danpower Energie Service GmbH, Bitterfelder Fernwärme GmbH, EKT Energie- und Kommunal-Technologie GmbH, and Wärmeversorgung Wolgast GmbH in their letter to the decision-making department dated January 27, 2017, which Danpower GmbH will ensure are fulfilled as the parent company of the aforementioned Danpower network companies, are binding.  </w:t>
        <w:br/>
        <w:t xml:space="preserve">2. The proceedings against the participants are terminated in accordance with § 32 b Abs. 1 Sentence 2 GWB.  </w:t>
        <w:br/>
        <w:t xml:space="preserve">3. A revocation or adjustment of the order is possible pursuant to § 32 b Abs. 2 GWB.  </w:t>
        <w:br/>
        <w:t xml:space="preserve">4. The fee for the procedure, including the decision, amounts to […] € and is imposed on Participants 1 to 5 as joint debtors.  </w:t>
        <w:br/>
        <w:t xml:space="preserve">Reasons  </w:t>
        <w:br/>
        <w:t xml:space="preserve">A. Facts  </w:t>
        <w:br/>
        <w:t>(1) Participant 1 (hereinafter: Danpower) is the parent company of the Danpower Group based in Potsdam. Danpower is a district heating and contracting company, which is majority-owned by Stadtwerke Hannover AG (enercity) with a share of 84.9%. The operation of district heating networks relevant to this procedure is carried out, among others, by the following four affiliated companies (hereinafter also collectively referred to as the Danpower network companies): Danpower Energie Service GmbH, Potsdam (as Participant 2, hereinafter: DES, shareholder: Danpower 100%), Bitterfelder Fernwärme GmbH, Bitterfeld (as Participant 3, hereinafter: BFG, shareholder: DES 100%), EKT Energie- und Kommunal-Technologie GmbH, Potsdam (as Participant 4, hereinafter: EKT, shareholder: Danpower 100%), Wärmeversorgung Wolgast GmbH, Wolgast (as Participant 5, hereinafter: WVW, shareholder: EKT 51%, City of Wolgast 49%).</w:t>
      </w:r>
    </w:p>
    <w:p>
      <w:r>
        <w:t xml:space="preserve">- 3 -  </w:t>
        <w:br/>
        <w:t xml:space="preserve">(2) The Danpower Group supplies customers from commerce, industry, and the housing sector with heat, electricity, and cooling in various federal states. The activities include the design of energy supply solutions, planning and project management, construction and operation of energy supply projects, as well as the delivery of heat and heat billing. The Danpower Group currently has more than 400 employees and generated revenue of approximately […] million € in 2015. During the period from 2010 to 2012, the revenue volume of the Danpower Group increased from approximately […] to […] million €, with more than half of this amount attributable to the heat sector.  </w:t>
        <w:br/>
        <w:t xml:space="preserve">(3) By letter dated March 6, 2013, the decision-making department initially initiated proceedings against DES on the suspicion of abusively high district heating prices based on § 19 Abs. 1 in conjunction with Abs. 2 No. 2 GWB. The proceedings were expanded by letter dated March 22, 2013, to include Danpower as the parent company of DES and other network companies whose district heating networks were affected by the suspicion. The initial suspicion arose from a revenue comparison conducted as part of the Federal Cartel Office's sector inquiry into district heating based on revenue and structural data for the years 2007 and 2008.  </w:t>
        <w:br/>
        <w:t xml:space="preserve">(4) To investigate this initial suspicion within the framework of the present procedure, a questionnaire for collecting revenue, quantity, and structural data on district heating supply for the years 2010 to 2012 was sent to the participants along with the initiation letter. Additionally, information about the company and the contracts relevant to district heating supply was requested.  </w:t>
        <w:br/>
        <w:t xml:space="preserve">(5) Since the participants are based in Potsdam, Bitterfeld, and Wolgast, the state cartel authorities of Brandenburg, Saxony-Anhalt, and Mecklenburg-Vorpommern were informed of the initiation of proceedings on March 7, 2013.  </w:t>
        <w:br/>
        <w:t xml:space="preserve">(6) The evaluation of the data collected by the Danpower Group by the decision-making department revealed that the average district heating revenues per kWh in several networks of the Danpower Group during the examined three-year period from 2010 to 2012 were significantly above the corresponding revenues of other district heating supply areas used for comparison. The decision-making department communicated these initial findings to Danpower in a preliminary status report.  </w:t>
        <w:br/>
        <w:t xml:space="preserve">1 The provision, which has since been incorporated unchanged into § 19 Abs. 2 No. 2 GWB, was still in § 19 Abs. 4 No. 2 GWB in the version of the GWB that was valid at that time.  </w:t>
        <w:br/>
        <w:t>2 See Federal Cartel Office, Sector Inquiry District Heating, Final Report pursuant to § 32 e GWB, August 2012, para. 132 et seq., available at www.bundeskartellamt.de.</w:t>
      </w:r>
    </w:p>
    <w:p>
      <w:r>
        <w:rPr>
          <w:b/>
        </w:rPr>
        <w:t>[Pages 4–6]</w:t>
      </w:r>
    </w:p>
    <w:p>
      <w:r>
        <w:t>- 4 -</w:t>
        <w:br/>
        <w:t>transmitted on May 12, 2014. This communication also explains the investigation concept and provided Danpower with the opportunity to comment.</w:t>
      </w:r>
    </w:p>
    <w:p>
      <w:r>
        <w:t>(7) Danpower availed itself of the opportunity to comment both in writing and orally, most recently in a personal meeting with the decision-making department on […]. In this meeting, Danpower indicated the prospect of making a suitable commitment pursuant to § 32 b GWB.</w:t>
      </w:r>
    </w:p>
    <w:p>
      <w:r>
        <w:t>(8) Nevertheless, Danpower maintains its position that the Danpower network companies are not addressees of the prohibition of abuse, so that a price abuse in the sense of this norm is already excluded for this reason. According to Danpower, the activity of the Danpower network companies is decisively determined by the competition of heating systems. This applies not only in relation to efforts to acquire a new customer, who in this situation fundamentally has the choice between different heating systems. Such competition between different heating systems – supply with district heating, heat supply through gas central heating, combined heat and power plants, and other heat sources – also exists at the time when existing supply contracts expire and the parties negotiate a new contract or extension. Accordingly, there is, in factual terms, a unified "heat market."3 The opposing decisions of the BGH in the proceedings "Fernwärme Börnsen"4 and "Stadtwerke Uelzen"5 are outdated in this respect; at the very least, they require empirical verification.6</w:t>
      </w:r>
    </w:p>
    <w:p>
      <w:r>
        <w:t>(9) The Danpower network companies are, Danpower further argues, thus not operating as classic district heating supply companies, but rather in the nationwide market for energy supply contracting. The activities of the Danpower network companies correspond to the criteria of this market, as presented by the Bundeskartellamt in its final report on the sector inquiry into district heating.7 Even if one were to assume the existence of a dominant market position, the prices charged by the Danpower network companies are not abusively excessive. In the context of the revenue comparison, the objective structural differences to the comparison networks used for comparison must be compensated by correction surcharges or discounts. Such corrective factors due to structural peculiarities arise in the affected networks of the Danpower network companies, among other things, from low connection density, low customer density, unfavorable topographical and geological characteristics, unfavorable load profiles, individual circumstances in heat generation, and unavoidably high investment needs. Taking these corrective factors into account, an abusive price increase cannot be established.</w:t>
      </w:r>
    </w:p>
    <w:p>
      <w:r>
        <w:t>(10) The procedure raises complex factual and legal questions. In particular, the usual vertical integration of generation, network, and distribution in district heating supply, as well as the joint production of electricity and heat, complicate the comparison of companies and supply areas. There is a multitude of technical and economically relevant differences and justifications that require extensive investigations. The question of whether and, if so, to what extent the district heating prices charged by Danpower in the various networks were justified in comparison could not be conclusively clarified, as further extensive investigations at Danpower as well as at comparison companies and within the industry would be necessary.</w:t>
      </w:r>
    </w:p>
    <w:p>
      <w:r>
        <w:t>(11) Although Danpower and the decision-making department continue to maintain their differing positions, the parties have agreed, for procedural economic reasons, particularly to avoid further delays in concluding the proceedings due to investigations and possibly subsequent litigation, to conclude the proceedings through a commitment from Danpower or its network companies.</w:t>
      </w:r>
    </w:p>
    <w:p>
      <w:r>
        <w:t>(12) In a letter dated […], DES, EKT, WVW, and BFG submitted a binding offer of commitment to the decision-making department, which includes the following points:</w:t>
        <w:br/>
        <w:t>- DES, BFG, EKT, and WVW intend to provide their existing customers with compensation amounting to a portion of the district heating fees paid in the years 2010 to 2012. In total, the compensation to be provided amounts to approximately €2 million (net).</w:t>
        <w:br/>
        <w:t>- WVW commits to provide its existing customers in the district heating network Wolgast with compensation amounting to a total of approximately €1.1 million (net). This amount will be provided in the future through the granting of a separately itemized discount for each existing customer in the annual final bill ("Compensation Amount Wolgast"). The Compensation Amount Wolgast is €16.5243 (net) per MWh of the heat quantity billed to the existing customer in the calendar years 2010 to 2012. The Compensation Amount Wolgast will be provided in three equal installments in the form of a credit on the annual final bills for the calendar years 2016 to 2018 inclusive.</w:t>
        <w:br/>
        <w:t>- BFG commits to provide its existing customers in the district heating network Bitterfeld with compensation amounting to a total of approximately €470,000 (net). This amount will be provided in the future through the granting of a separately itemized discount for each existing customer in the annual final bill ("Compensation Amount Bitterfeld"). The Compensation Amount Bitterfeld is €5.7946 (net) per MWh of the heat quantity billed to the existing customer in the calendar years 2010 to 2012. The Compensation Amount Bitterfeld will be provided in two equal installments in the form of a credit on the annual final bills for the calendar years 2016 to 2017 inclusive.</w:t>
        <w:br/>
        <w:t>- EKT commits to provide its existing customers in the district heating network Großenhain-Kupferberg with compensation amounting to a total of approximately €129,000 (net). This amount will be provided in the future through the granting of a separately itemized discount for each existing customer in the annual final bill ("Compensation Amount Kupferberg"). The Compensation Amount Kupferberg is €3.7929 (net) per MWh of the heat quantity billed to the existing customer in the calendar years 2010 to 2012. The Compensation Amount Kupferberg will be provided in a single amount in the form of a credit on the annual final bills for the calendar year 2016.</w:t>
        <w:br/>
        <w:t>- DES commits to provide its existing customers in the district heating network Puchheim-Planie with compensation amounting to a total of approximately €153,000 (net). This amount will be provided in the future through the granting of a separately itemized discount for each existing customer in the annual final bill ("Compensation Amount Puchheim"). The Compensation Amount Puchheim is €4.5747 (net) per MWh of the heat quantity billed to the existing customer in the calendar years 2010 to 2012. The Compensation Amount Puchheim will be provided in a single amount in the form of a credit on the</w:t>
      </w:r>
    </w:p>
    <w:p>
      <w:r>
        <w:rPr>
          <w:b/>
        </w:rPr>
        <w:t>[Pages 7–9]</w:t>
      </w:r>
    </w:p>
    <w:p>
      <w:r>
        <w:t>- 7 -</w:t>
        <w:br/>
        <w:t>year-end statement for the calendar year 2016 (for annual billing period) or on the year-end statement 2016/2017 (for interim billing period).</w:t>
      </w:r>
    </w:p>
    <w:p>
      <w:r>
        <w:t>- DES undertakes to provide its existing customers in the district heating network Munich-Olympiazentrum with a compensation amounting to approximately €175,000 (net). This amount will be granted in the future by providing a separately itemized discount for each existing customer in the year-end statement (“Compensation Amount Munich”). The Compensation Amount Munich is €9.4265 (net) per MWh of the heat quantity billed to the existing customer in the calendar years 2010 to 2012. The Compensation Amount Munich will be granted in a single amount in the form of a credit on the year-end statement for the calendar year 2016 (for annual billing period) or on the year-end statement 2016/2017 (for interim billing period).</w:t>
      </w:r>
    </w:p>
    <w:p>
      <w:r>
        <w:t>- For existing customers of the district heating networks Puchheim-Planie and Munich-Olympiazentrum, to whom DES has committed, within the framework of legally binding court settlements, to refund part of the district heating fees (also) concerning the calendar years 2010 to 2012, regulations for the crediting of the settlement amount against the compensation amount are provided.</w:t>
      </w:r>
    </w:p>
    <w:p>
      <w:r>
        <w:t>- For existing customers of the district heating networks Puchheim-Planie and Munich-Olympiazentrum who are in litigation against DES (as of the date of this decision) regarding the amount of the district heating fees (also) concerning the calendar years 2010 to 2012, similar regulations for offers to the existing customers and associated conditions are provided.</w:t>
      </w:r>
    </w:p>
    <w:p>
      <w:r>
        <w:t>- Danpower will ensure that the Danpower network companies fulfill their obligations arising from these commitments.</w:t>
      </w:r>
    </w:p>
    <w:p>
      <w:r>
        <w:t>- Danpower will adequately demonstrate to the Federal Cartel Office to which existing customers and in what amount the respective compensation amount was granted. The same applies to the proof of the previously mentioned offers to existing customers in the networks Puchheim-Planie and Munich-Olympiazentrum.</w:t>
      </w:r>
    </w:p>
    <w:p>
      <w:r>
        <w:t>- If the heat supply contract between an existing customer and the respective Danpower network company ends before the respective compensation amount has been fully received by the existing customer, the outstanding part of the compensation amount will be granted in the form of a separately itemized discount on the final invoice.</w:t>
      </w:r>
    </w:p>
    <w:p>
      <w:r>
        <w:t>(13) The parties were given the opportunity to comment on the draft decision pursuant to § 32 b GWB by letter dated January 25, 2017.</w:t>
      </w:r>
    </w:p>
    <w:p>
      <w:r>
        <w:t>B. Legal Assessment</w:t>
        <w:br/>
        <w:t>I. Commitments</w:t>
        <w:br/>
        <w:t>(14) The offered commitments are, based on the current factual and knowledge state of the decision division, suitable to dispel the concerns of the decision division regarding the contested competitive behavior, according to the preliminary assessment. Therefore, the decision division declares the commitments binding within the scope of its discretion and suspends the proceedings subject to the possibilities contained in § 32 b Abs. 2 GWB. The suspension of the proceedings means that the decision division will not address the pricing of the Danpower network companies in the following years 2013 to 2015 under antitrust law.</w:t>
      </w:r>
    </w:p>
    <w:p>
      <w:r>
        <w:t>(15) The preliminary assessment of the decision division is based on the considerations presented below (under III.). The Danpower network companies maintain their position that the district heating revenues they achieved are, in comparison to those of the comparison companies, objectively justified and that there is no price abuse. This could not be conclusively clarified, as further extensive investigations would be required.</w:t>
      </w:r>
    </w:p>
    <w:p>
      <w:r>
        <w:t>II. Jurisdiction</w:t>
        <w:br/>
        <w:t>(16) According to § 48 Abs. 2 GWB, the Federal Cartel Office generally performs the tasks and powers assigned to the cartel authority in the GWB when the effect of the anti-competitive behavior extends beyond the territory of a federal state. The parties 1 to 5 did not assert the local or subject matter jurisdiction of the Federal Cartel Office (§ 55 Abs. 2 GWB).</w:t>
      </w:r>
    </w:p>
    <w:p>
      <w:r>
        <w:t>III. Substantive Assessment</w:t>
        <w:br/>
        <w:t>(17) According to the preliminary competitive assessment by the decision division, the Danpower network companies have violated § 19 Abs. 1 in conjunction with Abs. 2 No. 2 GWB (prohibition of abuse) by demanding abusively high district heating prices. The prices of the Danpower network companies deviated during the period from 2010 to 2012 in the supply areas of Bitterfeld (networks BBS, Braustraße, and Fläminger Ufer), Großenhain (network Kupferberg), Munich (network Olympiazentrum), Puchheim (network Planie), and Wolgast (network Wolgast) from those prices that, according to the preliminary assessment of the decision division, would likely have resulted under effective competition.</w:t>
      </w:r>
    </w:p>
    <w:p>
      <w:r>
        <w:t>1. Status as Norm Addressee</w:t>
        <w:br/>
        <w:t>(18) According to the preliminary view of the decision division, the Danpower network companies, in relation to their respective activities as district heating suppliers, are norm addressees of the prohibition of abuse. In accordance with case law,8 there is regularly a presumption of a dominant market position of the – in each affected supply area usually sole – district heating supplier when supplying end customers with district heating.</w:t>
      </w:r>
    </w:p>
    <w:p>
      <w:r>
        <w:t>a) Market Definition</w:t>
        <w:br/>
        <w:t>(19) The decision division, in its previous practice, assumes a market for the supply of end consumers with district heating, which is spatially limited to the respective local network area.</w:t>
      </w:r>
    </w:p>
    <w:p>
      <w:r>
        <w:t>(20) The substantive market definition is based on the established case law according to the demand market concept, according to which all products or services that are functionally interchangeable from the perspective of a reasonable consumer without switching effort and costs are attributed to the relevant (supply) market.9</w:t>
      </w:r>
    </w:p>
    <w:p>
      <w:r>
        <w:t>(21) With regard to heat supply, a distinction must first be made between the decision for a heating system and the ongoing procurement of the corresponding energy carrier: If the customer is faced with the purchase of a new heating system, the different heating systems compete with each other, as long as they are available on-site, may be used, and there is no obligation to procure district heating. However, if the customer has chosen a heating system – and thus the energy carrier to be procured in the future –</w:t>
      </w:r>
    </w:p>
    <w:p>
      <w:r>
        <w:t>8 See BGH, judgment of July 9, 2002, KZR 30/00 – Fernwärme für Börnsen; BGH, decision of December 10, 2008, KVR 2/08 – Stadtwerke Uelzen; OLG Düsseldorf, decision of August 4, 2010, VI 2 (Kart) 8/09 (V).</w:t>
      </w:r>
    </w:p>
    <w:p>
      <w:r>
        <w:t>9 See Säcker in: Berliner Kommentar zum Energierecht, 2nd ed., § 19, Rn. 4 with references from case law.</w:t>
      </w:r>
    </w:p>
    <w:p>
      <w:r>
        <w:rPr>
          <w:b/>
        </w:rPr>
        <w:t>[Pages 10–12]</w:t>
      </w:r>
    </w:p>
    <w:p>
      <w:r>
        <w:t>- 10 -</w:t>
        <w:br/>
        <w:t>energy carriers – it is fundamentally assumed that there are separate markets for the energy carriers for the subsequent heat or fuel procurement.</w:t>
      </w:r>
    </w:p>
    <w:p>
      <w:r>
        <w:t>(22) The Federal Court of Justice stated in its decision "Fernwärme für Börnsen"10 that there is no unified market for district heating and other heating types. This view has been confirmed in the case "Stadtwerke Uelzen."11</w:t>
      </w:r>
    </w:p>
    <w:p>
      <w:r>
        <w:t>(23) According to the case law of the Federal Court of Justice, district heating is involved when heat is produced independently by a third party from a heating system not owned by the building owner and supplied to others based on business considerations, whereby the proximity of the heating system to the supplied building is just as irrelevant as the existence of a larger pipeline network.12</w:t>
      </w:r>
    </w:p>
    <w:p>
      <w:r>
        <w:t>(24) In spatial terms, the relevant market for the supply of district heating corresponds to the area served by the respective local district heating network. Since these are closed pipeline systems that are not interconnected, customers connected to one network cannot generally be supplied from other networks without further ado.</w:t>
      </w:r>
    </w:p>
    <w:p>
      <w:r>
        <w:t>(25) Accordingly, for the present examination, each district heating supply area served by a local network of the Danpower network companies is to be regarded as a separate spatially relevant market.</w:t>
      </w:r>
    </w:p>
    <w:p>
      <w:r>
        <w:t>(26) Danpower, on the other hand, holds the view13 that the Danpower network companies are predominantly not active in the district heating market. Rather, they are engaged in the market for energy supply contracting, which is to be distinguished from the classic district heating market and is to be delineated at least on a national level. Energy supply contracting involves projects where the energy service provider plans, finances, constructs, and subsequently ensures the heat supply for the duration of the contract. From the perspective of the consumers, there are significant differences between supply from public district heating networks and supply within the framework of a contracting model. Unlike classic district heating supply, the energy supply contractor assumes the risk that the conditions agreed upon for heat supply based on a long-term contract cover the operation of the facility, the amortization of the investments made, the costs for the supplied heat, as well as the reading and billing costs.14 This also applies to the networks relevant in this case, in which the Danpower network companies take on the construction and operation of generation facilities and heat supply networks, as well as maintenance and heat supply, at their own risk and based on specific customer orders. For the supply of apartments with heat, contractual relationships exist almost exclusively with the respective housing companies, with which the corresponding agreements are negotiated individually. According to Danpower, the Danpower network companies cannot therefore be equated with classic district heating supply companies.</w:t>
      </w:r>
    </w:p>
    <w:p>
      <w:r>
        <w:t>(27) For the present decision, this can ultimately remain open, as the procedure could be concluded based on the commitment promises.</w:t>
      </w:r>
    </w:p>
    <w:p>
      <w:r>
        <w:t>b) Market Dominance</w:t>
        <w:br/>
        <w:t>(28) According to the preliminary view of the decision division, the Danpower network companies each possess a dominant market position in the individually considered district heating supply areas within the meaning of § 18 Abs. 1 GWB.</w:t>
      </w:r>
    </w:p>
    <w:p>
      <w:r>
        <w:t>(29) According to the case law of the Higher Regional Court of Düsseldorf, district heating supply constitutes an almost ideal-type monopoly market.15 The question of the extent to which a connection holder is already legally prevented from changing the heating type is not relevant in this context. If the costs for consumers in changing the previous heating type are already very high for natural gas or heating oil, the costs for existing district heating consumers increase even further in the case of a conversion due to the requirement of a subsequent chimney installation. The dominant position of the district heating supplier is further reinforced by the fact that, unlike in other cases of energy supply via pipelines, the transmission by third companies is generally not considered.16</w:t>
      </w:r>
    </w:p>
    <w:p>
      <w:r>
        <w:t>(30) In line with this case law, there is therefore regularly a presumption of a dominant position of the district heating supplier when supplying end customers with district heating. The Danpower network companies are also the sole providers of district heating supplies in the relevant district heating supply areas.</w:t>
      </w:r>
    </w:p>
    <w:p>
      <w:r>
        <w:t>(31) Danpower, on the other hand, argues17 that the Danpower network companies are exposed to significant competition from other contracting providers and suppliers of other heating generation types both before the initial conclusion of heat supply or contracting contracts and before a contract extension. Even with the initial conclusion of a heat supply contract, no dominant position arises with respect to the customer. The mere fact that the customer cannot switch during the (initial) contract term is based solely on the binding nature of contracts, not on an alleged market power of the contractor. The terms of the heat supply contracts are individually negotiated between the Danpower network companies and the vast majority of customers. During the duration of a heat supply contract, the Danpower network companies do not have the ability to unilaterally change the heat prices or other contract terms.</w:t>
      </w:r>
    </w:p>
    <w:p>
      <w:r>
        <w:t>(32) For the present decision, this question can ultimately remain open, as the procedure could be concluded based on the commitment promises.</w:t>
      </w:r>
    </w:p>
    <w:p>
      <w:r>
        <w:t>2. Conduct</w:t>
        <w:br/>
        <w:t>(33) According to the preliminary assessment of the decision division, the Danpower network companies have behaved abusively by demanding excessive fees in the following five district heating supply areas during the examined period: Bitterfeld (networks BBS, Braustraße, and Fläminger Ufer), Wolgast, Großenhain (network Kupferberg), Puchheim (network Planie), and Munich (network Olympiazentrum). Other networks of the Danpower group are no longer the subject of consideration.</w:t>
      </w:r>
    </w:p>
    <w:p>
      <w:r>
        <w:t>(34) Abusive behavior exists according to § 19 Abs. 1 in conjunction with Abs. 2 No. 2 GWB when a company demands fees that deviate from those that would likely arise under effective competition.</w:t>
      </w:r>
    </w:p>
    <w:p>
      <w:r>
        <w:t>a) Comparison Market Method</w:t>
        <w:br/>
        <w:t>(35) To examine whether a company demands fees that deviate from those that would likely arise under effective competition, both</w:t>
      </w:r>
    </w:p>
    <w:p>
      <w:r>
        <w:rPr>
          <w:b/>
        </w:rPr>
        <w:t>[Pages 13–15]</w:t>
      </w:r>
    </w:p>
    <w:p>
      <w:r>
        <w:t>- 13 -</w:t>
        <w:br/>
        <w:t>both the comparative market method and cost control are recognized.18 In this case, the spatial comparative market method was applied in the form of revenue comparison.</w:t>
      </w:r>
    </w:p>
    <w:p>
      <w:r>
        <w:t>(36) The advantages of revenue comparison lie particularly in the fact that the quantity structure can be captured considering all purchase cases as well as mixed pricing systems.19 In contrast, a tariff comparison with predefined typical cases can depend heavily on the chosen purchase case, which may not be equally typical for the supply areas to be compared. This approach and its justification have already been recognized multiple times by the case law – including by the highest courts.20</w:t>
      </w:r>
    </w:p>
    <w:p>
      <w:r>
        <w:t>(37) The revenue comparison was based on the average revenue for the entire three-year period of the calendar years 2010 to 2012. Given sometimes significant price changes between the years, particularly due to price adjustment clauses and their reference values, an average price level could thus be considered over a longer period. The three-year average revenue (in cents/kWh) was determined from the sum of the heat revenues achieved over the three years and the sum of the billed heat quantities over the three years. The calculation included the total heat revenue achieved in a supply network, which encompasses all customers and both the consumption-dependent revenues from unit prices as well as the fixed, measurement, or billing prices that arise independently of consumption.</w:t>
      </w:r>
    </w:p>
    <w:p>
      <w:r>
        <w:t>(38) In previous price abuse proceedings of the decision division, a net average revenue adjusted for charges was used as a comparison value.21 The starting point is always the net total revenue actually achieved by the companies (i.e., excluding value-added tax) in a given year. If various taxes, charges, or other fees are included that are not influenceable by the affected company and are merely passed on by it, the total revenue is adjusted for these components. Similar to the concession fees commonly found in other supply sectors, the concession fee partially paid in district heating supply for the use of roads is agreed upon in a private law contract between the municipality as the road rights holder and the district heating supplier.</w:t>
      </w:r>
    </w:p>
    <w:p>
      <w:r>
        <w:t xml:space="preserve">18 Cf. BGH, decision of May 15, 2012, KVR 51/11 – Water Prices Calw. </w:t>
        <w:br/>
        <w:t xml:space="preserve">19 Confirmed by OLG Düsseldorf, decision of February 24, 2014, Vl-2 Kart 4/12 (V) – Berliner Wasserbetriebe, para. 140 (cited according to juris). </w:t>
        <w:br/>
        <w:t xml:space="preserve">20 Cf. lastly OLG Düsseldorf, decision of February 24, 2014, Vl-2 Kart 4/12 (V) – Berliner Wasserbetriebe. </w:t>
        <w:br/>
        <w:t>21 Procedure confirmed by OLG Düsseldorf, decision of February 24, 2014, Vl-2 Kart 4/12 (V) – Berliner Wasserbetriebe.</w:t>
      </w:r>
    </w:p>
    <w:p>
      <w:r>
        <w:t>- 14 -</w:t>
        <w:br/>
        <w:t>There is no uniform determination of the calculation basis or an upper limit as in the KAV for the electricity and gas sectors. Nevertheless, the decision division assumed these costs as non-influenceable for the present procedure and consequently adjusted the heat revenues by the paid concession fees and considered the revenue without concession fees for the revenue comparison.</w:t>
      </w:r>
    </w:p>
    <w:p>
      <w:r>
        <w:t>(39) The revenues thus determined in the supply areas of the Danpower network companies were compared to the corresponding revenues of supply areas used for comparison. In selecting the comparison network areas, the decision division considered various structural characteristics and key figures for heat generation and distribution. Those supply areas of the Danpower network companies were taken up and subjected to closer examination, whose average revenues exhibited a conspicuously higher level compared to the corresponding comparison value.</w:t>
      </w:r>
    </w:p>
    <w:p>
      <w:r>
        <w:t>(40) Danpower has questioned the specific comparability of the supply areas of the Danpower network companies with the comparison areas preliminarily selected by the decision division. The preliminary revenue comparison of the decision division does not sufficiently take into account the company-independent and unavoidable additional costs of heat supply, which exist due to a number of objective structural peculiarities in the respective network areas (to be discussed in detail below under b). A direct comparison with the preliminarily used comparison networks is therefore excluded in this context. In any case, significant correction surcharges in favor of the respective networks of the Danpower network companies must be taken into account, which exclude an abusive overpricing of the charged prices.</w:t>
      </w:r>
    </w:p>
    <w:p>
      <w:r>
        <w:t>b) Substantive Justification</w:t>
        <w:br/>
        <w:t>(41) In the context of the spatial comparative market method, correction surcharges or discounts must generally be considered due to objective structural differences, as the comparison markets are usually not structurally fully comparable with the affected market. Such correction factors serve to establish the comparability of the markets under consideration. Any remaining uncertainties must be accounted for by a safety surcharge on the final result. All objective parameters of the affected market that a comparison company would also have to consider if it were to operate there are relevant as correction factors. However, only company-independent additional costs, not company-specific parameters, should generally be taken into account.22</w:t>
      </w:r>
    </w:p>
    <w:p>
      <w:r>
        <w:t>(42) Danpower has extensively presented various company-independent structural peculiarities in the individual network areas, due to which objective additional costs arise for the Danpower network companies, justifying revenue deviations from the comparison networks and thus corresponding correction factors. Such correction factors due to structural peculiarities arise, among other things, from low connection density, low customer density, unfavorable topographical and geological conditions, unfavorable load profiles, individual circumstances in heat generation, and unavoidable high investment needs.</w:t>
      </w:r>
    </w:p>
    <w:p>
      <w:r>
        <w:t>(43) A considerable number of the justification reasons presented by Danpower for higher costs in the affected supply areas of the Danpower network companies appear substantiated to the decision division, so that they can justify a significant part of the revenue increase in comparison. However, further extensive investigations would be required for each individual affected supply area of the Danpower network companies and for a corresponding number of comparison companies or areas to clarify the matter. Due to the willingness of the Danpower network companies to provide customers with compensation amounting to a portion of the district heating fees paid in the years 2010 to 2012 as part of the commitments made to the decision division, the decision division was able to forgo a complete and further resource-consuming investigation of the facts regarding the asserted justification reasons.</w:t>
      </w:r>
    </w:p>
    <w:p>
      <w:r>
        <w:t>3. Assessment of the Commitment</w:t>
        <w:br/>
        <w:t>(44) The commitments offered by the Danpower network companies (as presented above in para. 12) for compensation payments will lead to a timely financial relief for the affected customers, addressing the behavior of the Danpower network companies regarding possible excessive prices during the review period of 2010 to 2012 in such a way that the procedure can be concluded.</w:t>
      </w:r>
    </w:p>
    <w:p>
      <w:r>
        <w:t xml:space="preserve">(45) The acceptance of these commitments and the conclusion of the procedure will lead to a quicker effective result for the customers than a continuation of the procedure. A corresponding order would only be possible after further necessary investigations, which would take considerable time. </w:t>
        <w:br/>
        <w:t>22 Cf. Nothdurft, in: Langen/Bunte (2014), Antitrust Law, Commentary, Vol. 1, 12th ed., para. 117 f.</w:t>
      </w:r>
    </w:p>
    <w:p>
      <w:r>
        <w:rPr>
          <w:b/>
        </w:rPr>
        <w:t>[Pages 16–18]</w:t>
      </w:r>
    </w:p>
    <w:p>
      <w:r>
        <w:t>- 16 -</w:t>
        <w:br/>
        <w:t>can be ordered significantly later. Further delays due to years of very resource-intensive litigation would also have had to be accepted.</w:t>
      </w:r>
    </w:p>
    <w:p>
      <w:r>
        <w:t>(46) In light of the fact that, at the time of this decision, legal disputes between DES and existing customers of the Puchheim-Planie and Munich-Olympiazentrum networks are pending, detailed provisions regarding the offsetting have been included in the commitments. This avoids a potential double reimbursement of the district heating fees in question for the same billing periods, depending on the outcome of the legal disputes. The legal disputes remain otherwise unaffected by this decision and the commitments declared binding thereby. In particular, this commitment decision does not make any statements or assessments regarding the extent to which the amounts claimed in the legal disputes are appropriate.</w:t>
      </w:r>
    </w:p>
    <w:p>
      <w:r>
        <w:t>- 17 -</w:t>
        <w:br/>
        <w:t>C. Fee</w:t>
        <w:br/>
        <w:t>(47) […]</w:t>
      </w:r>
    </w:p>
    <w:p>
      <w:r>
        <w:t>- 18 -</w:t>
        <w:br/>
        <w:t>D. Instruction on Legal Remedies</w:t>
        <w:br/>
        <w:t>(48) 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w:t>
      </w:r>
    </w:p>
    <w:p>
      <w:r>
        <w:t>(49) The appeal must be substantiated by a written submission filed with the Federal Cartel Office or the appellate court. The deadline for substantiating the appeal is two months. It begins with the delivery of the contested decision and can be extended upon request by the presiding judge of the appellate court. The appeal substantiation must include a statement regarding the extent to which the decision is being contested and a request for its amendment or annulment, as well as the – if applicable, also new – facts and evidence on which the appeal is based.</w:t>
      </w:r>
    </w:p>
    <w:p>
      <w:r>
        <w:t>(50) The appeal and the appeal substantiation must be signed by a lawyer. The appeal does not have suspensive effect. Upon request, the appellate court may order the suspensive effect of the appeal in whole or in part.</w:t>
        <w:br/>
        <w:t>Prof. Dr. Carsten Becker Dr. Juliane Lagemann Dr. Katharina Wacker</w:t>
      </w:r>
    </w:p>
    <w:p>
      <w:r>
        <w:rPr>
          <w:b/>
        </w:rPr>
        <w:t>[Pages 19–21]</w:t>
      </w:r>
    </w:p>
    <w:p>
      <w:r>
        <w:t>- 19 -</w:t>
        <w:br/>
        <w:t>Table of Contents</w:t>
        <w:br/>
        <w:t xml:space="preserve">A. Facts ............................................................................................................. 2  </w:t>
        <w:br/>
        <w:t xml:space="preserve">B. Legal Assessment ....................................................................................... 8  </w:t>
        <w:br/>
        <w:t xml:space="preserve">I. Commitment Undertakings ........................................................................... 8  </w:t>
        <w:br/>
        <w:t xml:space="preserve">II. Jurisdiction .................................................................................................... 8  </w:t>
        <w:br/>
        <w:t xml:space="preserve">III. Substantive Assessment .............................................................................. 8  </w:t>
        <w:br/>
        <w:t xml:space="preserve">1. Status as Norm Addressee .................................................................................. 9  </w:t>
        <w:br/>
        <w:t xml:space="preserve">a) Market Definition ............................................................................................... 9  </w:t>
        <w:br/>
        <w:t xml:space="preserve">b) Market Dominance ........................................................................................... 11  </w:t>
        <w:br/>
        <w:t xml:space="preserve">2. Conduct .............................................................................................................. 12  </w:t>
        <w:br/>
        <w:t xml:space="preserve">a) Comparison Market Method ............................................................................. 12  </w:t>
        <w:br/>
        <w:t xml:space="preserve">b) Objective Justification ...................................................................................... 14  </w:t>
        <w:br/>
        <w:t xml:space="preserve">3. Assessment of the Commitment Undertaking .................................................... 15  </w:t>
        <w:br/>
        <w:t xml:space="preserve">C. Fee .............................................................................................................. 17  </w:t>
        <w:br/>
        <w:t>D. Information on Legal Remedies .................................................................. 18</w:t>
      </w:r>
    </w:p>
    <w:p>
      <w:r>
        <w:t xml:space="preserve">8. Decision Division  </w:t>
        <w:br/>
        <w:t xml:space="preserve">B 8 – 31/13  </w:t>
        <w:br/>
        <w:t xml:space="preserve">Decision  </w:t>
        <w:br/>
        <w:t xml:space="preserve">In the administrative procedure  </w:t>
        <w:br/>
        <w:t xml:space="preserve">1. Danpower GmbH – Participant 1 –  </w:t>
        <w:br/>
        <w:t xml:space="preserve">Otto-Braun-Platz 1  </w:t>
        <w:br/>
        <w:t xml:space="preserve">14467 Potsdam  </w:t>
        <w:br/>
        <w:t xml:space="preserve">2. Danpower Energie Service GmbH – Participant 2 –  </w:t>
        <w:br/>
        <w:t xml:space="preserve">Otto-Braun-Platz 1  </w:t>
        <w:br/>
        <w:t xml:space="preserve">14467 Potsdam  </w:t>
        <w:br/>
        <w:t xml:space="preserve">3. Bitterfelder Fernwärme GmbH – Participant 3 –  </w:t>
        <w:br/>
        <w:t xml:space="preserve">Bahnhofstr. 30  </w:t>
        <w:br/>
        <w:t xml:space="preserve">06749 Bitterfeld-Wolfen  </w:t>
        <w:br/>
        <w:t xml:space="preserve">4. EKT Energie- und Kommunal- – Participant 4 –  </w:t>
        <w:br/>
        <w:t xml:space="preserve">Technologie GmbH  </w:t>
        <w:br/>
        <w:t xml:space="preserve">Otto-Braun-Platz 1  </w:t>
        <w:br/>
        <w:t xml:space="preserve">14467 Potsdam  </w:t>
        <w:br/>
        <w:t xml:space="preserve">5. Wärmeversorgung Wolgast GmbH – Participant 5 –  </w:t>
        <w:br/>
        <w:t xml:space="preserve">Burgstr. 6a  </w:t>
        <w:br/>
        <w:t xml:space="preserve">17438 Wolgast  </w:t>
        <w:br/>
        <w:t xml:space="preserve">Authorized representatives for Participants 1 to 5:  </w:t>
        <w:br/>
        <w:t xml:space="preserve">Noerr LLP  </w:t>
        <w:br/>
        <w:t xml:space="preserve">Attorney Dr. Kathrin Westermann  </w:t>
        <w:br/>
        <w:t xml:space="preserve">Attorney Peter Stauber, LL.M.  </w:t>
        <w:br/>
        <w:t xml:space="preserve">Charlottenstraße 57  </w:t>
        <w:br/>
        <w:t>10117 Berlin</w:t>
      </w:r>
    </w:p>
    <w:p>
      <w:r>
        <w:t>- 2 -</w:t>
        <w:br/>
        <w:t xml:space="preserve">The 8th Decision Division of the Federal Cartel Office decided on March 13, 2017:  </w:t>
        <w:br/>
        <w:t xml:space="preserve">The decision of February 13, 2017 in the matter B8-31/13 is corrected in such a way that in paragraph 12, 3rd bullet point, the number “5.7946” is replaced by the number “4.9806”.  </w:t>
        <w:br/>
        <w:t xml:space="preserve">Reasons  </w:t>
        <w:br/>
        <w:t xml:space="preserve">(1) The authorized representatives of Participant 3 informed by email on March 8, 2017, that due to an error in determining the circle of existing customers in the affected district heating network of Participant 3, the compensation amount promised to the Federal Cartel Office for Bitterfeld in the amount of approximately €470,000 (net) is distributed over a larger billed heat quantity. The authorized representatives also transmitted the corresponding data. The compensation amount for Bitterfeld per MWh is thus €4.9806 (net) instead of the €5.7946 (net) stated in the decision.  </w:t>
        <w:br/>
        <w:t xml:space="preserve">(2) The reasons for the decision of February 13, 2017 had to be amended in paragraph 12 due to this fact, as can be seen from the tenor, since the compensation amount for Bitterfeld per MWh, which is mathematically derived from the promised compensation amount for Bitterfeld and the total billed heat quantity to existing customers in the calendar years 2010 to 2012, would otherwise be incorrectly represented.  </w:t>
        <w:br/>
        <w:t>(3) Substantively, there is no change to the decision of February 13, 2017. The subject of the decision of the decision division, to declare the undertaking binding and to terminate the proceedings, was in relation to the district heating supply in the Bitterfeld network the corresponding compensation amount of approximately €470,000 (net). This remains unaffected by the reported error in the amount.</w:t>
      </w:r>
    </w:p>
    <w:p>
      <w:r>
        <w:rPr>
          <w:b/>
        </w:rPr>
        <w:t>[Pages 22–22]</w:t>
      </w:r>
    </w:p>
    <w:p>
      <w:r>
        <w:t>- 3 -</w:t>
        <w:br/>
        <w:t>Legal Remedy Information</w:t>
        <w:br/>
        <w:t>An appeal against the decision in the new version is permissible. It must be submitted in writing within a period of one month starting from the delivery of the decision to the Bundeskartellamt, Kaiser-Friedrich-Straße 16, 53113 Bonn. However, it is sufficient if it is received within this period by the appellate court, the Higher Regional Court of Düsseldorf.</w:t>
      </w:r>
    </w:p>
    <w:p>
      <w:r>
        <w:t>The appeal must be substantiated by a written statement submitted to the Bundeskartellamt or the appellate court. The deadline for the appeal justification is two months. It begins with the delivery of the contested order and can be extended upon request by the presiding judge of the appellate court. The appeal justification must contain a statement indicating the extent to which the decision is being contested and the request for its amendment or annulment, as well as the – if applicable, also new – facts and evidence on which the appeal is based.</w:t>
      </w:r>
    </w:p>
    <w:p>
      <w:r>
        <w:t>The appeal and the appeal justification must be signed by a lawyer. The appeal does not have suspensive effect. Upon request, the appellate court may order the suspensive effect of the appeal in whole or in part.</w:t>
      </w:r>
    </w:p>
    <w:p>
      <w:r>
        <w:t>Prof. Dr. Carsten Becker Ameli Köhler Dr. Katharina Wacker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