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http://www.bundeskartellamt.de/SharedDocs/Entscheidung/DE/Entscheidungen/Missbrauchsaufsicht/2015/B8-34-13.pdf;jsessionid=5052F642BB4134CCFA1D91BB15C39B77.2_cid387?__blob=publicationFile&amp;v=2</w:t>
      </w:r>
    </w:p>
    <w:p>
      <w:r>
        <w:t>Pages translated : 16</w:t>
      </w:r>
    </w:p>
    <w:p/>
    <w:p>
      <w:r>
        <w:rPr>
          <w:b/>
        </w:rPr>
        <w:t>[Pages 1–3]</w:t>
      </w:r>
    </w:p>
    <w:p>
      <w:r>
        <w:t xml:space="preserve">8. Decision Division  </w:t>
        <w:br/>
        <w:t xml:space="preserve">B 8 – 34/13  </w:t>
        <w:br/>
        <w:t xml:space="preserve">ADMINISTRATIVE PROCEDURE  </w:t>
        <w:br/>
        <w:t xml:space="preserve">DECISION PURSUANT TO § 32 b GWB  </w:t>
        <w:br/>
        <w:t xml:space="preserve">– Public Version –  </w:t>
        <w:br/>
        <w:t xml:space="preserve">Decision  </w:t>
        <w:br/>
        <w:t xml:space="preserve">In the administrative procedure  </w:t>
        <w:br/>
        <w:t xml:space="preserve">Stadtwerke Leipzig GmbH  </w:t>
        <w:br/>
        <w:t xml:space="preserve">Augustusplatz 7  </w:t>
        <w:br/>
        <w:t xml:space="preserve">04109 Leipzig  </w:t>
        <w:br/>
        <w:t xml:space="preserve">– Involved Party –  </w:t>
        <w:br/>
        <w:t xml:space="preserve">Legal Representatives:  </w:t>
        <w:br/>
        <w:t xml:space="preserve">Raue LLP  </w:t>
        <w:br/>
        <w:t xml:space="preserve">Attorney Christian von Hammerstein  </w:t>
        <w:br/>
        <w:t xml:space="preserve">Attorney Stefanie von Hoff  </w:t>
        <w:br/>
        <w:t xml:space="preserve">Potsdamer Platz 1  </w:t>
        <w:br/>
        <w:t xml:space="preserve">10785 Berlin  </w:t>
        <w:br/>
        <w:t xml:space="preserve">the 8th Decision Division of the Federal Cartel Office has decided on October 15, 2015:  </w:t>
        <w:br/>
        <w:t xml:space="preserve">1. The commitments offered by the involved party in its letter to the Decision Division dated October 15, 2015 are binding.  </w:t>
        <w:br/>
        <w:t xml:space="preserve">2. The proceedings against the involved party are terminated in accordance with § 32 b paragraph 1 sentence 2 GWB.  </w:t>
        <w:br/>
        <w:t xml:space="preserve">3. A revocation or adjustment of the order is possible in accordance with § 32 b para. 2 GWB.  </w:t>
        <w:br/>
        <w:t>4. The fee for the proceedings, including the decision, amounts to […] €.</w:t>
      </w:r>
    </w:p>
    <w:p>
      <w:r>
        <w:t xml:space="preserve">- 2 -  </w:t>
        <w:br/>
        <w:t xml:space="preserve">Reasons  </w:t>
        <w:br/>
        <w:t xml:space="preserve">A. Facts  </w:t>
        <w:br/>
        <w:t xml:space="preserve">(1) The involved party Stadtwerke Leipzig GmbH (hereinafter: SW Leipzig) is one of the largest municipal energy suppliers in East Germany. Its business activities include, among other things, energy generation, wholesale energy trading, the retail distribution of electricity, gas, and heat to end customers, as well as the network infrastructure for electricity, gas, and district heating supply in the city of Leipzig. The sole shareholder of SW Leipzig is LVV Leipziger Versorgungs- und Verkehrsgesellschaft mbH, whose shares are entirely held by the city of Leipzig.  </w:t>
        <w:br/>
        <w:t xml:space="preserve">(2) In 2014, SW Leipzig achieved total revenues of approximately €2.2 billion, of which about €384 million were from energy sales, and of that, approximately €127 million were from the sale of district heating.1 The district heating sales through the approximately 470 km long supply network with nearly 5,500 consumption points are highly weather-dependent and averaged about 1,350 GWh over the last three years (2012 to 2014).2 In the period under review of the proceedings from 2010 to 2012, the average annual sales at around 5,400 consumption points were approximately 1,390 GWh.  </w:t>
        <w:br/>
        <w:t xml:space="preserve">(3) By letter dated March 6, 2013, the Decision Division initiated proceedings against SW Leipzig on the suspicion of abusively high district heating prices based on § 19 para. 1 in conjunction with para. 2 no. 2 GWB.3 At the request of the Decision Division, the State Cartel Authority of Saxony transferred the matter to the Federal Cartel Office by letter dated February 20, 2013, pursuant to § 49 para. 3 GWB. The initial suspicion arose from a revenue comparison conducted as part of the Federal Cartel Office's sector inquiry into district heating based on the collected revenue and structural data for the years 2007 and 2008. In this context, the Decision Division found that the average district heating revenues per kilowatt-hour of SW Leipzig in the district heating network of the city of Leipzig (district heating network) were significantly above the average of the comparison group.4  </w:t>
        <w:br/>
        <w:t xml:space="preserve">(4) To investigate this initial suspicion within the framework of the present proceedings, SW Leipzig was sent a questionnaire along with the letter initiating the proceedings to collect revenue, quantity, and structural data on district heating supply for the years 2010 to 2012. In addition, information about the company and the contracts relevant to district heating supply were requested.  </w:t>
        <w:br/>
        <w:t xml:space="preserve">(5) The evaluation of the data collected by SW Leipzig revealed that the average district heating revenues per kWh in the three-year period 2010-2012 were significantly above the corresponding revenues of other district heating supply areas used for comparison. The Decision Division communicated these initial investigation results to SW Leipzig in a preliminary status report by letter dated May 12, 2014. In this communication and the attached documents, the Decision Division also explained the investigation concept and the application of the revenue comparison and provided an opportunity for comments.  </w:t>
        <w:br/>
        <w:t xml:space="preserve">(6) SW Leipzig took the opportunity to comment in a personal meeting on […] and by letter dated […]. After thorough examination and evaluation, the Decision Division sent SW Leipzig a revised preliminary assessment by letter dated April 22, 2015. The Decision Division continued to assume that SW Leipzig is the addressee of the abuse control under the GWB and that its district heating prices were abusively high during the period under review. SW Leipzig took the opportunity for a renewed statement with a letter dated […] and once again presented its legal opinion in detail. Some of the justifications presented by SW Leipzig appear to the Decision Division to be substantiated, so that they can justify part of the revenue increase in comparison. According to SW Leipzig, they can justify the entire revenue increase. Further extensive investigations at SW Leipzig and the comparison companies as well as in the industry would be necessary for clarification.  </w:t>
        <w:br/>
        <w:t xml:space="preserve">(7) In a further meeting, SW Leipzig offered commitments pursuant to § 32 b GWB on […] which were supplemented and specified in a conference call on […] and subsequent correspondence. In the meeting, SW Leipzig pointed out to  </w:t>
        <w:br/>
        <w:t>4 See Federal Cartel Office, Sector Inquiry District Heating, Final Report pursuant to § 32 e GWB, August 2012, para. 132 et seq., available at www.bundeskartellamt.de.</w:t>
      </w:r>
    </w:p>
    <w:p>
      <w:r>
        <w:rPr>
          <w:b/>
        </w:rPr>
        <w:t>[Pages 4–6]</w:t>
      </w:r>
    </w:p>
    <w:p>
      <w:r>
        <w:t>- 4 -</w:t>
        <w:br/>
        <w:t>an additional substantial justification that would also have required further investigations.</w:t>
      </w:r>
    </w:p>
    <w:p>
      <w:r>
        <w:t>(8) SW Leipzig maintains its position that the initial suspicion asserted by the decision division, that the district heating prices of SW Leipzig are abusively excessive, is unfounded. In particular, SW Leipzig considers the distinction made by the decision division, referring to the decision of the Federal Court of Justice in the case "District Heating for Börnsen"5, of a separate market for district heating supply, which is spatially limited to the network area, to be outdated in factual terms. The switching costs presented by the decision division to justify this market delineation no longer existed in the relevant period from 2010 onwards. Regardless, a dominant market position of SW Leipzig is not given due to the competitive pressure from substitute energies as well as the negotiating power of the market counterpart. Abuse is also excluded because there is no abusive behavior on the part of SW Leipzig.</w:t>
      </w:r>
    </w:p>
    <w:p>
      <w:r>
        <w:t>(9) The proceedings raise complicated factual and legal questions. In particular, the usual vertical integration of generation, network, and distribution in district heating supply, as well as the joint production of electricity and heat, complicate the comparison of companies and supply areas. There are numerous differences and justifications that require extensive investigations. The question of whether and, if so, to what extent the district heating prices charged by SW Leipzig were justified in comparison could not be conclusively clarified, as further extensive investigations would be required.</w:t>
      </w:r>
    </w:p>
    <w:p>
      <w:r>
        <w:t>(10) Although SW Leipzig and the decision division continue to uphold their differing positions, the parties have agreed, for procedural economic reasons and to avoid further investigations, on a settlement solution through commitments. In light of a further delay in the conclusion of the proceedings due to investigations and possibly subsequent litigation, the parties – despite maintaining their respective legal positions – have agreed that SW Leipzig will make the following commitments.</w:t>
      </w:r>
    </w:p>
    <w:p>
      <w:r>
        <w:t>(11) SW Leipzig submitted a binding offer of commitments to the decision division in a letter dated […] which includes the following points:</w:t>
        <w:br/>
        <w:t>5 See BGH, judgment of July 9, 2002, KZR 30/00 – District Heating for Börnsen.</w:t>
      </w:r>
    </w:p>
    <w:p>
      <w:r>
        <w:t>- 5 -</w:t>
        <w:br/>
        <w:t>- SW Leipzig commits to a revenue reduction starting January 1, 2016, and reduces the base price in the new pricing system Leipziger wärme.komfort to 6.32 ct/kWh. The total volume of the price reduction amounts to approximately €40.8 million. With a duration of five years, this corresponds to a reduction volume of about €8.2 million per year. The new pricing system, in conjunction with the commitment and the agreed duration of 5 years, leads to an average annual revenue volume reduction of approximately 6.7%. The reduction for individual consumption cases may vary.</w:t>
      </w:r>
    </w:p>
    <w:p>
      <w:r>
        <w:t>- SW Leipzig will introduce the pricing system detailed in the annex to the commitment starting January 1, 2016, with a limitation of the presented price regulation until December 31, 2020 (commitment pricing system). This pricing system will be offered to all existing customers with contract commencement from January 1, 2016. All existing customers who do not accept this offer will be presented by SW Leipzig with at least two further offers to switch by June 30, 2017.</w:t>
      </w:r>
    </w:p>
    <w:p>
      <w:r>
        <w:t>- SW Leipzig also commits to offer the pricing system listed in the annex to the commitment to all new customers starting January 1, 2016.</w:t>
      </w:r>
    </w:p>
    <w:p>
      <w:r>
        <w:t>- SW Leipzig waives the passing on of the price component "emission price" until December 31, 2018, and will introduce it later than initially planned.</w:t>
      </w:r>
    </w:p>
    <w:p>
      <w:r>
        <w:t>- SW Leipzig will publish the pricing regulation of the new pricing system and the resulting annual prices on its website.</w:t>
      </w:r>
    </w:p>
    <w:p>
      <w:r>
        <w:t>- SW Leipzig will inform the decision division annually about the price and quantity developments.</w:t>
      </w:r>
    </w:p>
    <w:p>
      <w:r>
        <w:t>(12) SW Leipzig was given the opportunity to comment on the draft decision pursuant to § 32 b GWB in a letter dated October 2, 2015.</w:t>
      </w:r>
    </w:p>
    <w:p>
      <w:r>
        <w:t>B. Legal Assessment</w:t>
        <w:br/>
        <w:t>I. Commitment Offers</w:t>
        <w:br/>
        <w:t>(13) The offered commitments are suitable to dispel the existing concerns of the decision division regarding the contested competitive behavior, according to the preliminary assessment. Therefore, the decision division declares the commitments binding within the framework of its discretion and terminates the proceedings subject to the possibilities contained in § 32 b para. 2 GWB. The termination of the proceedings means that the decision division will not address the pricing of SW Leipzig in the district heating sector for the subsequent years 2013 to 2015 under antitrust law.</w:t>
      </w:r>
    </w:p>
    <w:p>
      <w:r>
        <w:t>(14) The preliminary assessment of the decision division is based on the considerations presented below (under III.). SW Leipzig maintains its position that the district heating revenues it achieved are, in any case, objectively justified compared to those of the comparison companies and that there is no price abuse. This could not be conclusively clarified, as further extensive investigations would be required.</w:t>
      </w:r>
    </w:p>
    <w:p>
      <w:r>
        <w:t>II. Jurisdiction</w:t>
        <w:br/>
        <w:t>(15) The Federal Cartel Office is responsible for the proceedings, as the State Cartel Authority of Saxony transferred the matter at the request of the Federal Cartel Office by letter dated February 20, 2013, pursuant to § 49 para. 3 GWB.</w:t>
      </w:r>
    </w:p>
    <w:p>
      <w:r>
        <w:t>III. Substantive Assessment</w:t>
        <w:br/>
        <w:t>(16) SW Leipzig has, according to the preliminary competitive assessment, violated § 19 para. 1 in conjunction with para. 2 no. 2 GWB by demanding abusively excessive district heating prices. According to the preliminary evaluation, the district heating prices of SW Leipzig deviate from the prices that would likely arise under effective competition.</w:t>
      </w:r>
    </w:p>
    <w:p>
      <w:r>
        <w:t>1. Norm Subject Status</w:t>
        <w:br/>
        <w:t>(17) In accordance with the case law6, the decision division generally assumes a dominant market position of the district heating supplier, which is regularly the sole provider in the respective affected supply area, in the supply of end customers with district heating.</w:t>
        <w:br/>
        <w:t>6 See BGH, judgment of July 9, 2002, KZR 30/00 – District Heating for Börnsen; BGH, decision of December 10, 2008, KVR 2/08 – Stadtwerke Uelzen; OLG Düsseldorf, decision of August 4, 2010, VI 2 (Kart) 8/09 (V).</w:t>
      </w:r>
    </w:p>
    <w:p>
      <w:r>
        <w:rPr>
          <w:b/>
        </w:rPr>
        <w:t>[Pages 7–9]</w:t>
      </w:r>
    </w:p>
    <w:p>
      <w:r>
        <w:t>- 7 -</w:t>
        <w:br/>
        <w:t>a) Market Definition</w:t>
        <w:br/>
        <w:t>(18) The decision division assumes a separate market for the supply of district heating to end consumers. This is spatially limited to the respective local network area.</w:t>
        <w:br/>
        <w:t>(19) The substantive market definition is based on the established case law according to the demand market concept, whereby all products or services that are functionally interchangeable from the perspective of a reasonable consumer without switching effort and costs are attributed to the relevant (supply) market.</w:t>
        <w:br/>
        <w:t>(20) With regard to heat supply, a distinction must be made between the decision for a heating system and the ongoing procurement of the corresponding energy carrier: When a customer is faced with the purchase of a new heating system, the different heating systems compete with each other, provided they are available on-site, may be used, and there is no obligation to procure district heating. However, once the customer has decided on a heating system – and thus the energy carrier to be procured in the future – separate markets for the energy carriers must be assumed for the subsequent heat or fuel procurement. The Federal Court of Justice stated in its decision "District Heating for Börnsen"7 that there is no unified market for district heating and other heating types. This view was confirmed in the case "City Utilities Uelzen"8.</w:t>
        <w:br/>
        <w:t>(21) According to the case law of the BGH, it is district heating when heat is produced independently by a third party from a heating system not owned by the building owner and delivered to others based on business considerations, whereby the proximity of the heating system to the supplied building is just as irrelevant as the existence of a larger pipeline network.9</w:t>
        <w:br/>
        <w:t>(22) Within the district heating market, the decision division, based on previous practice, assumes different customer groups. Initially, a distinction must be made between the supply of end consumers and the supply of large resellers who supply customers on their own account. The focus of the sector inquiry10 by the Federal Cartel Office was on supplies to "household and small business customers." However, a uniform definition of these customers for all suppliers and network areas in distinction from "large business and industrial customers" has proven to be difficult. Even though many smaller end consumers are supplied, the demand side is often characterized by a large customer structure, as housing companies are direct contractual partners of the suppliers instead of individual tenants. The actual substitution possibilities are influenced both by local conditions regarding alternative heating systems or suppliers and by the technical and organizational capabilities of the consumers.</w:t>
        <w:br/>
        <w:t>(23) In spatial terms, the relevant market for the supply of district heating corresponds to the area served by the respective local district heating network.11 Since these are closed pipeline systems that are not interconnected, customers connected to one network cannot generally be supplied from other networks without further ado.</w:t>
        <w:br/>
        <w:t>b) Market Dominance</w:t>
        <w:br/>
        <w:t>(24) According to the opinion of the decision division, SW Leipzig holds a dominant market position in the supply of district heating to end consumers in Leipzig within the meaning of § 18 para. 1 GWB.</w:t>
        <w:br/>
        <w:t>(25) According to the case law of the OLG Düsseldorf, district heating supply constitutes an almost ideal-type monopoly market. The question of the extent to which a connection holder is already legally prevented from changing the type of heating is not relevant in this context. If the costs for consumers when switching from their previous heating type are already very high for natural gas or heating oil, the costs for previous district heating consumers increase even further in the case of a conversion due to the requirement of a subsequent chimney installation. The dominant position of the district heating supplier is further reinforced by the fact that, unlike in other cases of pipeline-based energy supply, third-party transmission is generally not considered.12</w:t>
        <w:br/>
        <w:t>10 See Federal Cartel Office, Sector Inquiry District Heating, Final Report pursuant to § 32 e GWB, August 2012, available at www.bundeskartellamt.de.</w:t>
        <w:br/>
        <w:t>11 See OLG Düsseldorf, decision of 4.8.2010, VI 2 (Kart) 8/09 (V).</w:t>
        <w:br/>
        <w:t>12 See OLG Düsseldorf, decision of 4.8.2010, VI 2 (Kart) 8/09 (V).</w:t>
      </w:r>
    </w:p>
    <w:p>
      <w:r>
        <w:t>- 9 -</w:t>
        <w:br/>
        <w:t>(26) The decision division therefore generally assumes a dominant market position of the district heating supplier in the supply of end consumers with district heating. SW Leipzig is the sole provider of district heating deliveries in the district heating network relevant here in Leipzig.</w:t>
        <w:br/>
        <w:t>(27) SW Leipzig disputes that it holds a dominant market position. As a basic prerequisite for this, it cites the lack of a connection and usage obligation for the entire network area. Therefore, the external competitive pressure from energy carriers alternative to district heating fully affects the scope of action of SW Leipzig. Furthermore, the counterparty's market power in the network area of SW Leipzig is considerable. Additionally, due to an automatic price adjustment clause, it has no influence on price development. As a result, SW Leipzig has no pricing discretion.</w:t>
        <w:br/>
        <w:t>2. Conduct</w:t>
        <w:br/>
        <w:t>(28) Based on a comparison with the revenues in district heating supply areas of other companies, an overcharge of revenues by SW Leipzig is evident for the years 2010 to 2012. According to § 19 para. 1 in conjunction with para. 2 no. 2 GWB, abusive conduct occurs when a company demands prices that deviate from those that would likely arise under effective competition.</w:t>
        <w:br/>
        <w:t>a) Revenue Comparison</w:t>
        <w:br/>
        <w:t>(29) To verify whether a company demands prices that deviate from those that would likely arise under effective competition, both the comparative market method and cost control are recognized.13 In this case, the comparative market method was applied in the form of revenue comparison.</w:t>
        <w:br/>
        <w:t>(30) The advantages of revenue comparison lie particularly in the fact that the quantity structure can be captured considering all purchase cases as well as mixed pricing systems.14 In contrast, a tariff comparison with predefined typical cases can depend heavily on the chosen purchase case, which may not be the same for the network areas being compared.</w:t>
      </w:r>
    </w:p>
    <w:p>
      <w:r>
        <w:rPr>
          <w:b/>
        </w:rPr>
        <w:t>[Pages 10–12]</w:t>
      </w:r>
    </w:p>
    <w:p>
      <w:r>
        <w:t>- 10 -</w:t>
        <w:br/>
        <w:t>must be typically characteristic. This approach and its justification have already been recognized multiple times by the judiciary – including by the highest courts.15</w:t>
      </w:r>
    </w:p>
    <w:p>
      <w:r>
        <w:t>(31) The revenue comparison was made based on the average revenue for the entire three-year period of the calendar years 2010 to 2012. Given sometimes significant price changes between the years, particularly due to price adjustment clauses and their reference sizes, an average price level could thus be considered over a longer period. The three-year average revenue (in cents/kWh) was determined from the sum of the achieved heating revenues over the three years and the sum of the billed heating quantities over the three years. The calculation included the total heating revenue achieved in a supply network, which encompasses all customers and both the consumption-dependent revenues from unit prices as well as the fixed, measurement, or billing prices that arise independently of consumption.</w:t>
      </w:r>
    </w:p>
    <w:p>
      <w:r>
        <w:t>(32) In previous price abuse proceedings of the decision division, a net average revenue adjusted for charges was used as a comparison figure.16 The starting point is always the net total revenue actually achieved by the companies (in one year) (i.e., excluding value-added tax). If various taxes, charges, or other fees are included that cannot be influenced by the affected company and are only passed on by it, the total revenue is adjusted for these components. Similar to the concession fee commonly paid in other supply areas, the partially paid fee for the use of roads in district heating supply is agreed upon in a private law contract between the municipality as the road rights holder and the district heating supplier. There is no uniform determination of the calculation basis or an upper limit as in the KAV for the areas of electricity and gas. Nevertheless, the decision division has decided for the present proceedings to adjust the heating revenues by the paid fees and to consider the revenue without the fee for the comparison of revenues.</w:t>
      </w:r>
    </w:p>
    <w:p>
      <w:r>
        <w:t>(33) The revenues thus determined for SW Leipzig were compared with the corresponding revenues of a comparison group consisting of the supply areas of three comparison companies. Compared to the average of this comparison group, SW Leipzig exhibited an excessive revenue level. In selecting the comparison network areas, the decision division considered various structural characteristics for heat generation and distribution. Of the three network areas selected for the preliminary assessment, one is also located in East Germany. The inclusion of several network areas and the determination of average values for the individual characteristics and key figures allow for a certain balancing of structural differences already within the comparison group. The district heating supply of SW Leipzig could, according to the preliminary assessment of the decision division, be well compared with the three selected district heating supply areas, as it is sufficiently similar to them in terms of size criteria as well as relevant structural criteria (such as meter volume value, density of the supply network). SW Leipzig disputes that there is sufficient comparability with the companies selected for comparison by the decision division.</w:t>
      </w:r>
    </w:p>
    <w:p>
      <w:r>
        <w:t>b) Objective Justification</w:t>
        <w:br/>
        <w:t>(34) In the context of the comparative market method, correction surcharges or discounts must generally be considered due to objective structural differences, as the comparison markets are usually not structurally fully comparable to the affected market. Such correction factors serve to establish the comparability of the markets under consideration. Any remaining uncertainties must be accounted for by a safety surcharge on the final result. All objective parameters of the affected market that a comparison company would also have to consider if it were to operate there are relevant as correction factors. However, only company-independent additional costs, not company-specific parameters, should generally be considered.17</w:t>
      </w:r>
    </w:p>
    <w:p>
      <w:r>
        <w:t>(35) SW Leipzig has presented various justification reasons during the proceedings that, in its view, require correction surcharges on the comparison revenue or justify a higher revenue than that of the comparison group used. The arguments included, among others, customer structure and purchasing behavior, connection density, temperature differences, so-called special costs for East Germany, and the primary energy factor.</w:t>
      </w:r>
    </w:p>
    <w:p>
      <w:r>
        <w:t>(36) Some of the justification reasons presented by SW Leipzig for higher costs appear to the decision division to be substantiated, so that they can justify part of the revenue excess in comparison. According to SW Leipzig, they can justify the entire revenue excess. Further extensive investigations at SW Leipzig and the comparison companies as well as in the industry would be necessary for clarification. Due to SW Leipzig's willingness to lower its district heating prices in the future based on commitments to the decision division, the decision division was able to forgo a complete and further resource-consuming investigation of the facts regarding the asserted justification reasons.</w:t>
      </w:r>
    </w:p>
    <w:p>
      <w:r>
        <w:t>(37) In the context of the comparative solution, the decision division recognized some of the presented reasons as concessions without further in-depth investigations, although usually to a significantly lesser extent than presented by SW Leipzig. For this, surcharges were applied to the comparison revenue. SW Leipzig believes that much higher surcharges should have been applied.</w:t>
      </w:r>
    </w:p>
    <w:p>
      <w:r>
        <w:t>(38) The uncertainties associated with the complexity of the facts and the partially specific technical questions were also preemptively addressed by safety surcharges. Finally, a significance surcharge required by the case law of the Federal Court of Justice18 was also applied.</w:t>
      </w:r>
    </w:p>
    <w:p>
      <w:r>
        <w:t>3. Assessment of the Commitment Promises</w:t>
        <w:br/>
        <w:t>(39) The commitment offered by SW Leipzig (described above under para. 11) to reduce revenues leads promptly and over a longer period to a financial relief for the affected district heating customers, compensating for SW Leipzig's behavior regarding possible excessive district heating prices in the past.</w:t>
      </w:r>
    </w:p>
    <w:p>
      <w:r>
        <w:t>(40) In the area of district heating supply, as well as in the area of water supply19, the decision division believes that a possible price excess in the past can also be compensated by a price reduction in the future for the following reasons:</w:t>
        <w:br/>
        <w:t>- The future price reduction does not create any (additional) customer loyalty, as district heating customers, due to their decision for the heating system,</w:t>
      </w:r>
    </w:p>
    <w:p>
      <w:r>
        <w:rPr>
          <w:b/>
        </w:rPr>
        <w:t>[Pages 13–15]</w:t>
      </w:r>
    </w:p>
    <w:p>
      <w:r>
        <w:t>- 13 -</w:t>
        <w:br/>
        <w:t xml:space="preserve">district heating have virtually no switching options anyway, switching is at least associated with high effort or is not economically sensible. </w:t>
        <w:br/>
        <w:t>- A refund of excessive prices in the past is very difficult to implement, as the direct customers of the district heating suppliers are usually landlords who have passed on the district heating prices to the tenants. In this respect, the landlords would have to recalculate the heating costs despite the legally binding heating cost statement in the past and proportionally pass on the refunds from the district heating supplier, which would involve significant effort.</w:t>
      </w:r>
    </w:p>
    <w:p>
      <w:r>
        <w:t>(41) The acceptance of the commitments and the conclusion of the proceedings lead to a quicker effective result for the customers than a continuation of the proceedings. A corresponding order could only have been issued significantly later due to further necessary investigations. Additional delays due to years of very resource-intensive legal disputes would also have to be accepted.</w:t>
      </w:r>
    </w:p>
    <w:p>
      <w:r>
        <w:t>(42) Furthermore, SW Leipzig contributes to increasing transparency by publishing the pricing regulations and the resulting annual prices on its website in the future.</w:t>
      </w:r>
    </w:p>
    <w:p>
      <w:r>
        <w:t>- 14 -</w:t>
        <w:br/>
        <w:t>C. Fee</w:t>
        <w:br/>
        <w:t>(43) […]</w:t>
      </w:r>
    </w:p>
    <w:p>
      <w:r>
        <w:t>- 15 -</w:t>
        <w:br/>
        <w:t>D. Information on Legal Remedies</w:t>
        <w:br/>
        <w:t>(44) An appeal against this decision is permissible. It must be submitted in writing within a period of one month starting from the delivery of the decision to the Bundeskartellamt, Kaiser-Friedrich-Straße 16, 53113 Bonn. However, it is sufficient if it is received within this period by the appellate court, the Higher Regional Court of Düsseldorf.</w:t>
      </w:r>
    </w:p>
    <w:p>
      <w:r>
        <w:t>(45) The appeal must be substantiated by a written submission filed with the Bundeskartellamt or the appellate court. The deadline for substantiating the appeal is two months. It begins with the delivery of the contested order and can be extended upon request by the presiding judge of the appellate court. The appeal must contain a statement indicating the extent to which the decision is being contested and a request for its amendment or annulment, as well as the facts and evidence, possibly also new, on which the appeal is based.</w:t>
      </w:r>
    </w:p>
    <w:p>
      <w:r>
        <w:t>(46) The appeal and the appeal substantiation must be signed by a lawyer. The appeal does not have suspensive effect. Upon request, the appellate court may order the suspensive effect of the appeal in whole or in part.</w:t>
      </w:r>
    </w:p>
    <w:p>
      <w:r>
        <w:t>Dr. Felix Engelsing Annette Bangard Dr. Katharina Wacker</w:t>
        <w:br/>
        <w:t>You are hereby informed that the decision will be published – in its tenor – in the Federal Gazette (§ 43 para. 2 no. 1 GWB) and – in full text – on the Internet. You are therefore requested to inform the decision division in writing within 7 days of the delivery of this decision whether the decision contains trade secrets that need to be redacted before publication. Please justify why the deletions you may request are trade secrets. If the responsible decision division does not receive any notification from you within 7 days, the Bundeskartellamt will assume that this decision does not contain any trade secrets and will publish it.</w:t>
      </w:r>
    </w:p>
    <w:p>
      <w:r>
        <w:rPr>
          <w:b/>
        </w:rPr>
        <w:t>[Pages 16–16]</w:t>
      </w:r>
    </w:p>
    <w:p>
      <w:r>
        <w:t>- 16 -</w:t>
        <w:br/>
        <w:t>Table of Contents</w:t>
        <w:br/>
        <w:t xml:space="preserve">A. Facts ........................................................................................................... 2  </w:t>
        <w:br/>
        <w:t xml:space="preserve">B. Legal Assessment ...................................................................................... 5  </w:t>
        <w:br/>
        <w:t xml:space="preserve">I. Commitments .............................................................................................. 5  </w:t>
        <w:br/>
        <w:t xml:space="preserve">II. Jurisdiction ................................................................................................... 6  </w:t>
        <w:br/>
        <w:t xml:space="preserve">III. Substantive Assessment ............................................................................. 6  </w:t>
        <w:br/>
        <w:t xml:space="preserve">1. Normative Addressee Status .................................................................................. 6  </w:t>
        <w:br/>
        <w:t xml:space="preserve">a) Market Definition .................................................................................................. 7  </w:t>
        <w:br/>
        <w:t xml:space="preserve">b) Market Dominance ............................................................................................... 8  </w:t>
        <w:br/>
        <w:t xml:space="preserve">2. Conduct .................................................................................................................. 9  </w:t>
        <w:br/>
        <w:t xml:space="preserve">a) Revenue Comparison .......................................................................................... 9  </w:t>
        <w:br/>
        <w:t xml:space="preserve">b) Objective Justification ....................................................................................... 11  </w:t>
        <w:br/>
        <w:t xml:space="preserve">3. Assessment of Commitments .............................................................................. 12  </w:t>
        <w:br/>
        <w:t xml:space="preserve">C. Fee ................................................................................................................ 14  </w:t>
        <w:br/>
        <w:t>D. Instructions on Legal Remedies ..................................................................... 15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