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https://www.bundeskartellamt.de/SharedDocs/Entscheidung/DE/Fallberichte/Fusionskontrolle/2018/B8-34-18.pdf?__blob=publicationFile&amp;v=2</w:t>
      </w:r>
    </w:p>
    <w:p>
      <w:r>
        <w:t>Pages translated : 5</w:t>
      </w:r>
    </w:p>
    <w:p/>
    <w:p>
      <w:r>
        <w:rPr>
          <w:b/>
        </w:rPr>
        <w:t>[Pages 1–3]</w:t>
      </w:r>
    </w:p>
    <w:p>
      <w:r>
        <w:t>demand characteristics. The market must therefore be defined in a way that reflects the competitive conditions accurately.</w:t>
      </w:r>
    </w:p>
    <w:p>
      <w:r>
        <w:t>The Federal Cartel Office's preliminary assessment concluded that the relevant market for the supply of marine diesel fuel to inland vessels is limited to the German section of the Rhine, specifically from Mannheim to Duisburg. A nationwide market definition would not adequately reflect the competitive conditions, nor would a narrow, location-based analysis. The same applies to a geographical delineation that would include bunker locations in the Netherlands alongside those in the German Rhine.</w:t>
      </w:r>
    </w:p>
    <w:p>
      <w:r>
        <w:t>In summary, the investigations indicated that the market for the supply of marine diesel fuel to inland vessels is characterized by significant competitive constraints, particularly due to the specific operational requirements and the geographical limitations of the service providers. The Federal Cartel Office's findings suggest that the proposed merger would have substantially reduced competition in this market, leading to potential adverse effects on pricing and service availability for customers reliant on marine diesel fuel.</w:t>
      </w:r>
    </w:p>
    <w:p>
      <w:r>
        <w:rPr>
          <w:b/>
        </w:rPr>
        <w:t>[Pages 4–5]</w:t>
      </w:r>
    </w:p>
    <w:p>
      <w:r>
        <w:t>Selection options. Similarly, a further delineation including locations situated on the Dutch part of the Rhine would consider alternatives that are not actually available for the demand expressed on the German section of the Rhine. According to the customer survey conducted, in fact, only bunker locations along the respective route are considered, as detours are generally not economical due to the additional time and fuel requirements. Accordingly, the spatial delineation should primarily be oriented towards the routes traveled by the purchasers. Inland shippers operating on a supra-regional level have further optimized their bunkering behavior to the extent that, where traffic also includes the Netherlands, they utilize the more favorable price level there. From this existing optimization, it can be inferred that the demand covered on the German Rhine by inland shippers cannot (further) be shifted to the Netherlands. Thus, there remains a market volume on the German Rhine that can be sold at a significantly higher price level despite the homogeneity of the product and the access of purchasers to Dutch locations.</w:t>
      </w:r>
    </w:p>
    <w:p>
      <w:r>
        <w:t>Competitive Effects</w:t>
        <w:br/>
        <w:t>According to the preliminary assessment of the merger effects, the project would have been expected to lead to the emergence of a dominant market position for Reinplus in the market for supplying inland vessels with diesel fuel on the German Rhine. The project would have resulted in a significant hindrance to effective competition due to the elimination of a significant competitive force and the actual reduction in the number of relevant and leading providers from three to two companies, due to unilateral effects.</w:t>
      </w:r>
    </w:p>
    <w:p>
      <w:r>
        <w:t>The parties involved have high market shares in an already very concentrated market. Through the merger, the gap between the already largest provider, Reinplus, and the next largest and only remaining competitor, Rheintank, would have significantly increased. After the merger, Reinplus would have achieved a market share that is still significantly above the 40% threshold for presumption of market dominance.</w:t>
      </w:r>
    </w:p>
    <w:p>
      <w:r>
        <w:t>The indicated superior market position of Reinplus is further supported by the preliminary findings of the Federal Cartel Office regarding the overall establishment of the VARO Group: Reinplus would have had a preferred access to procurement markets compared to the remaining competitors due to the vertically integrated VARO Group. Due to its integration into a (cross-border) network of bunker locations of the group with a corresponding customer base, Reinplus already has significant advantages in accessing sales markets.</w:t>
      </w:r>
    </w:p>
    <w:p>
      <w:r>
        <w:t>With NWB, a significant competitive force would have been eliminated at the Cologne location, thereby increasing the maneuvering space of Reinplus – with only one remaining competitor on the German Rhine. The evaluation of the collected transaction data has shown that NWB, as an independent provider and third force on the German Rhine, has significant competitive importance due to its recognizable price-active behavior. NWB has recently been able to gain market shares. The maneuvering space of Reinplus would not have been sufficiently constrained by the other market players after the merger. The same applies to the comparatively fragmented demand for bunkering services. Therefore, for the determination of a significant hindrance to effective competition, it was not ultimately relevant that Reinplus would gain a dominant market position through the merger. In particular, due to the elimination of NWB as the third largest provider on the Rhine and the lack of competitive pressure from the remaining providers, a significant hindrance to effective competition due to unilateral effects would have been expected according to the preliminary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