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http://www.bundeskartellamt.de/SharedDocs/Entscheidung/DE/Fallberichte/Missbrauchsaufsicht/2012/B8-40-10.pdf;jsessionid=1747F21CDF989ABD686612E631656467.2_cid378?__blob=publicationFile&amp;v=4</w:t>
      </w:r>
    </w:p>
    <w:p>
      <w:r>
        <w:t>Pages translated : 5</w:t>
      </w:r>
    </w:p>
    <w:p/>
    <w:p>
      <w:r>
        <w:rPr>
          <w:b/>
        </w:rPr>
        <w:t>[Pages 1–3]</w:t>
      </w:r>
    </w:p>
    <w:p>
      <w:r>
        <w:t>1</w:t>
        <w:br/>
        <w:t>Case Report 25.07.2012</w:t>
        <w:br/>
        <w:t>Price Reduction Order Against the Berlin Water Utilities</w:t>
        <w:br/>
        <w:t>Industry: Water Supply</w:t>
        <w:br/>
        <w:t>File Number: B8-40/10</w:t>
        <w:br/>
        <w:t>Date of Decision: 04.06.2012</w:t>
        <w:br/>
        <w:t>The Federal Cartel Office has obligated the Berlin Water Utilities ("BWB") by decision dated 04.06.2012 to significantly reduce their water prices, i.e., by approximately 18%. The reduction order pertains to the revenue-adjusted1 net prices. The price reduction is effective for 2012, so that water customers will benefit from the lower prices starting with the annual final accounts for 2012, which will occur throughout 2013.</w:t>
      </w:r>
    </w:p>
    <w:p>
      <w:r>
        <w:t>In the course of extensive investigations, the Federal Cartel Office compared the Berlin water prices with the water prices of the 37 other largest cities in Germany (i.e., all German major cities with over 200,000 inhabitants) and found that BWB has above-average high prices. At the same time, the investigations revealed that the water supply conditions in Berlin are very favorable. BWB can extract ample drinking water in Berlin and distribute it cost-effectively through its well-laid-out and maintained pipeline network. The benchmark for the amount of the price reduction was the average water price level in the other German metropolitan cities of Hamburg, Munich, and Cologne, which is more than 25% lower. In favor of BWB, it was taken into account that BWB had significantly higher investments in the 1990s compared to the comparison companies. These above-average investments were primarily incurred as follow-up costs of reunification (merging of water networks, renovation of the East network) and are recognized by the Federal Cartel Office as a justification. Since these investment costs still largely burden the current water price through depreciation, they have been generously considered in favor of BWB. Accordingly, the abusive price increase assessed was lower than the actual price difference in relation to the comparison companies.</w:t>
      </w:r>
    </w:p>
    <w:p>
      <w:r>
        <w:t>Regarding the methodology:</w:t>
        <w:br/>
        <w:t>The determination of price abuse is based on the results of a revenue-adjusted revenue or average price comparison. Average price comparison means that the total revenues achieved by a company from water sales are compared to the total water sales. The resulting general average price of the supplier is compared with that of other suppliers. In the case of mixed prices, particularly from basic and consumption prices, this revenue comparison serves as an objective comparison basis, independent of individual tariff structures. The revenue comparison allows for the determination of the actual price level, as tariff-independent average prices are formed that comprehensively capture the water sales of the company. Furthermore, annual assessments automatically take into account intra-year price changes. Additionally, all tariffs are recorded with their respective purchase quantities and real significance. However, only the revenue-adjusted revenues are usually compared, meaning the amounts paid by customers minus value-added tax, water extraction fees (or water rent, water cent, etc.), as well as concession fees (including similar fees such as road usage fees). This is because these must be paid by water suppliers in varying amounts to the federal government, states, or municipalities, so that fundamentally only the already adjusted net fees serve as the basis for the revenue comparison. In some cities, water extraction fees and concession fees alone account for more than one-fifth of the gross water price, while in some other countries and cities, water prices are not burdened at all with these fees.</w:t>
      </w:r>
    </w:p>
    <w:p>
      <w:r>
        <w:t>Regarding the comparison benchmarks:</w:t>
        <w:br/>
        <w:t>The revenue-adjusted Berlin water price was compared with the revenue-adjusted average drinking water price of the water suppliers in the three other million metropolitan cities in Germany, namely Hamburg, Cologne, and Munich. The water suppliers located there are the companies most comparable to BWB. They exhibit the most similarities in structural criteria such as size, characteristics of water supply, similar supply density, supply area, and overall similar burden with sovereign fees such as water extraction fees and concession fees. BWB also has the best opportunities to exploit efficiency gains (economies of scale) compared to the three comparison cities, given the size of its unified supply area.</w:t>
      </w:r>
    </w:p>
    <w:p>
      <w:r>
        <w:t>The cause of the high water prices of BWB is not increased operating costs. Instead, the calculated costs in the form of depreciation and capital interest are above average. The cause of the high depreciation is not only actually increased investments but also the accounting policies and valuations of BWB, which, compared to other water suppliers, records its expenses more as investments.</w:t>
      </w:r>
    </w:p>
    <w:p>
      <w:r>
        <w:t>Regarding the effects of the price reduction order on Berlin water customers:</w:t>
        <w:br/>
        <w:t>The Federal Cartel Office has obligated BWB to implement the price reduction for the current year 2012 with the annual final accounts in 2013. The final billing can only occur once the customer's actual annual consumption is known. The manner of the price reduction must be non-discriminatory. However, the Federal Cartel Office has not specified the exact implementation of the price reduction. BWB can, for example, reduce the consumption price or the basic prices, but can also grant each customer the same percentage discount on their respective water bill. Landlords and property managers are required to pass the price reduction on to the respective tenants and property owners. The price reductions for the years 2013 – 2015 must also be implemented in the respective following years. The order for a refund of any excessive water prices for the years 2009 to 2011 has been expressly reserved by the Federal Cartel Office. In this respect, the administrative procedure has not yet been concluded.</w:t>
      </w:r>
    </w:p>
    <w:p>
      <w:r>
        <w:t>Regarding the special legal questions in Berlin:</w:t>
        <w:br/>
        <w:t>BWB disputes the applicability of antitrust law to the Berlin drinking water prices, which it considers to be public law fees ("fees in price disguise"). In any case, the prices are set by statutory provisions of the State of Berlin, to which it is bound.</w:t>
      </w:r>
    </w:p>
    <w:p>
      <w:r>
        <w:t>According to the Federal Cartel Office, Berlin drinking water prices also fall under antitrust law. Fee law is not applicable to prices. Moreover, this would contradict the high profit reports and profit distributions of BWB. Aside from that, according to the decision of the Federal Court of Justice dated 18.10.2011 in the case "Niederbarnimer Wasserverband," a review of water fees under antitrust law is also conceivable.</w:t>
      </w:r>
    </w:p>
    <w:p>
      <w:r>
        <w:t>BWB cannot invoke the statutory provisions of the State of Berlin regarding price calculation as a justification for excessive prices. The state, which was also involved in the administrative procedure, is the sole carrier of BWB and majority shareholder of the BWB holding. In this respect, there is already a corporate legal attribution between BWB and the State of Berlin. Furthermore, the statutory provisions regarding price calculation are not universally applicable laws, but rather solely business decisions concerning BWB that have merely been cast in the form of laws.</w:t>
      </w:r>
    </w:p>
    <w:p>
      <w:r>
        <w:rPr>
          <w:b/>
        </w:rPr>
        <w:t>[Pages 4–5]</w:t>
      </w:r>
    </w:p>
    <w:p>
      <w:r>
        <w:t>4</w:t>
        <w:br/>
        <w:t>Regarding the judicial proceedings:</w:t>
        <w:br/>
        <w:t>BWB filed a lawsuit before the Administrative Court of Cologne in the spring of 2011, arguing that it had a public law defensive claim against the price abuse proceedings initiated in the spring of 2010. However, the Administrative Court of Cologne had already declared the legal recourse inadmissible and referred the case to the Higher Regional Court of Düsseldorf. The complaint filed by BWB against this decision was dismissed by the Higher Administrative Court of Münster with a decision dated 06.07.2012. BWB's objection, that the case fundamentally involved constitutional, fee, and administrative law issues, was not upheld, as these issues were to be resolved within the framework of the specific antitrust legal recourse. The lawsuit, thus irrevocably referred to the Higher Regional Court of Düsseldorf, was withdrawn by BWB on 13.07.2012, and it declared that it would bear the costs of the legal dispute.</w:t>
      </w:r>
    </w:p>
    <w:p>
      <w:r>
        <w:t>Independently of this, BWB also filed a complaint against the price reduction order of 04.06.2012 with the Higher Regional Court of Düsseldorf and stated that it would substantiate the complaint by early August 2012. Within the framework of this legal dispute, all arguments presented by BWB, including those relating to the admissibility of the proceedings as such, can be treated uniformly. BWB has already announced that it will implement the ordered price reduction for 2012 in the annual final accounts to be conducted by the end of 2013, provided that the court clarifies that antitrust law takes precedence over Berlin state law with regard to Berlin water prices.</w:t>
      </w:r>
    </w:p>
    <w:p>
      <w:r>
        <w:t>5</w:t>
        <w:br/>
        <w:t>Chronological overview of the procedural course:</w:t>
        <w:br/>
        <w:t>02.02.2010 BGH decision "Water Prices Wetzlar"</w:t>
        <w:br/>
        <w:t>17.03.2010 Initiation of proceedings by BKartA (after submission by LKB Berlin)</w:t>
        <w:br/>
        <w:t>Summer '10 Coordination of joint questionnaire (optional) with state cartel authorities</w:t>
        <w:br/>
        <w:t>19.08.2010 Dispatch of questionnaires to the 38 largest water suppliers, among others</w:t>
        <w:br/>
        <w:t>23.09.2010 Complaint against BKartA information order by the water association</w:t>
        <w:br/>
        <w:t>from 11/2010 Evaluation of questionnaires</w:t>
        <w:br/>
        <w:t>08.12.2010 OLG Düsseldorf grants the complaint of the water association (not final)</w:t>
        <w:br/>
        <w:t>28.02.2011 Status report BKartA to BWB (price increase BWB)</w:t>
        <w:br/>
        <w:t>09.03.2011 Lawsuit BWB before the Administrative Court of Cologne (due to lack of jurisdiction of BKartA)</w:t>
        <w:br/>
        <w:t>19.05.2011 Letter from BWB regarding justification reasons</w:t>
        <w:br/>
        <w:t>Summer '11 New investigations to examine BWB's presentation for justification</w:t>
        <w:br/>
        <w:t>05.09.2011 VG Köln: the administrative legal path taken by BWB is inadmissible</w:t>
        <w:br/>
        <w:t>19.09.2011 BWB files a complaint against VG Köln before the OVG Münster</w:t>
        <w:br/>
        <w:t>18.10.2011 BGH overturns OLG Düsseldorf decision of 08.12.2010: Duty to provide information also applies to fees</w:t>
        <w:br/>
        <w:t>Fall '11 New results (updated data, investment comparison, etc.)</w:t>
        <w:br/>
        <w:t>05.12.2011 Warning I (to BWB, Berlin, RWE, Veolia)</w:t>
        <w:br/>
        <w:t>30.01.2012 Statement BWB regarding Warning I with new presentation</w:t>
        <w:br/>
        <w:t>from 02/2012 Investigations into new presentation by BWB, simultaneously data update</w:t>
        <w:br/>
        <w:t>30.03.2012 Warning II (to BWB, Berlin, RWE, Veolia)</w:t>
        <w:br/>
        <w:t>30.04.2012 Statement BWB regarding Warning II with changes to previous data statements</w:t>
        <w:br/>
        <w:t>04.06.2012 Decision (including the new, changed figures from BWB)</w:t>
        <w:br/>
        <w:t>05.06.2012 Delivery of the decision to BWB, Berlin, RWE, and Veolia</w:t>
        <w:br/>
        <w:t>08.06.2012 Filing of complaint by BWB with OLG Düsseldorf</w:t>
        <w:br/>
        <w:t>06.07.2012 OVG Münster dismisses complaint against VG Köln (withdrawal of BWB's lawsuit)</w:t>
        <w:br/>
        <w:t>.....08.2012 Justification of complaint by BWB at OLG Düsseldorf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