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https://www.bundeskartellamt.de/SharedDocs/Entscheidung/DE/Fallberichte/Fusionskontrolle/2019/B8-65-18.pdf?__blob=publicationFile&amp;amp;v=4</w:t>
      </w:r>
    </w:p>
    <w:p>
      <w:r>
        <w:t>Pages translated : 6</w:t>
      </w:r>
    </w:p>
    <w:p/>
    <w:p>
      <w:r>
        <w:rPr>
          <w:b/>
        </w:rPr>
        <w:t>[Pages 1–3]</w:t>
      </w:r>
    </w:p>
    <w:p>
      <w:r>
        <w:t xml:space="preserve">Case Report April 9, 2019  </w:t>
        <w:br/>
        <w:t xml:space="preserve">Withdrawal of the notification of the intended acquisition of eleven petrol stations in the Trier area by Total  </w:t>
        <w:br/>
        <w:t xml:space="preserve">Industry: Sale of fuel through petrol stations  </w:t>
        <w:br/>
        <w:t xml:space="preserve">File Number: B8-65/18  </w:t>
        <w:br/>
        <w:t>Date of Withdrawal: March 26, 2019</w:t>
      </w:r>
    </w:p>
    <w:p>
      <w:r>
        <w:t>The Federal Cartel Office conducted an in-depth examination of the intended acquisition of eleven petrol stations of Autohof Görgen GmbH &amp; Co. KG, Trier (Görgen), by Total Deutschland GmbH, Berlin (Total), in the main examination procedure. After the Federal Cartel Office had communicated its competitive concerns in writing to the parties involved and indicated a prohibition ("warning"), the notification was withdrawn on March 26, 2019. According to the preliminary assessment of the Federal Cartel Office, the merger would have led to a significant impediment to effective competition in the markets for the sale of petrol and diesel fuel through petrol stations in the regional market Trier. The merger would have expected coordinated effects in the form of the reinforcement of an existing jointly dominant position of the nationwide operating and also leading petrol station operators in the Trier area. In the other regional markets affected by the merger, however, the merger would not have led to competition problems.</w:t>
      </w:r>
    </w:p>
    <w:p>
      <w:r>
        <w:t>Total, a subsidiary of the French Total S.A., Paris, is a vertically integrated oil company that operates at various levels of oil production and oil trading in Germany. Among other things, Total operates a nationwide network of petrol stations with more than 1,100 locations. Görgen is a family-run medium-sized company that operates eleven petrol stations in Rhineland-Palatinate and Saarland, including four in the city of Trier and two others within less than twenty minutes driving distance from the city center of Trier. The petrol stations are operated by Görgen based on a time-limited agreement under the "Total" brand, without Total being structurally involved in Görgen so far.</w:t>
      </w:r>
    </w:p>
    <w:p>
      <w:r>
        <w:t>The Federal Cartel Office relied in the proceedings particularly on investigations among competitors, whereby both the large nationwide operating oil companies and smaller competitors in the affected region were comprehensively questioned. Additionally, for the first time in a main examination procedure, extensive data on fuel prices provided by the Market Transparency Unit for Fuels (MTS-K) could be analyzed for the assessment of actual competitive behavior.</w:t>
      </w:r>
    </w:p>
    <w:p>
      <w:r>
        <w:t>Substantive and Geographic Market Definition</w:t>
      </w:r>
    </w:p>
    <w:p>
      <w:r>
        <w:t>The merger project substantively concerns the sale of fuels through petrol stations to end consumers, i.e., the retail of fuels. In its court-confirmed decision-making practice, the Federal Cartel Office delineates separate substantive markets for diesel and petrol, as these types of fuel are not directly interchangeable from the perspective of demand. The investigations in the present case did not lead to any other result. Any potential further subdivision of the substantive markets by distribution channels (roadside petrol stations, truck stops, motorway petrol stations) did not need to be examined in detail in the present case, as only roadside petrol stations were to be acquired and motorway petrol stations have only a very minor significance in the only spatial market found to be competitively problematic.</w:t>
      </w:r>
    </w:p>
    <w:p>
      <w:r>
        <w:t>In the geographic market definition, the Federal Cartel Office also oriented itself to previous decision-making practices and delineated the affected regional markets according to the so-called accessibility model. The starting point for this is that, according to general life experience, demanders cover their fuel needs within a – possibly also variable – radius around their place of business or residence. For rural areas, a driving time of up to 60 minutes is considered appropriate for market delineation to refuel at another petrol station. In contrast, a driver in an urban environment will typically not drive longer than 30 minutes to reach another petrol station on the way. This must also be seen against the background that refueling occurs as part of typically traveled routes. However, the alternatives existing within a geographic market are not perceived as equivalent from the perspective of demanders. A driver is more likely to choose a petrol station that is closer rather than one that is farther away. The Federal Cartel Office takes this aspect of relative competitive proximity into account through weighting. The closer the petrol station is to the target petrol station or – in the case of several closely located target petrol stations – to the center of the geographic market, the higher the weight it receives.</w:t>
      </w:r>
    </w:p>
    <w:p>
      <w:r>
        <w:t>On the basis of the accessibility model, the Federal Cartel Office delineated in the present case a geographic market for the six Görgen petrol stations located in Trier or in the immediate vicinity with a catchment area of 30 minutes driving time from the city center. The remaining five petrol stations are located in rural areas. For them, geographic markets were each delineated with a catchment area of 60 minutes driving time starting from the respective target petrol station. The region affected by the merger has the peculiarity that it is located near the western national border of Germany and the driving times according to the accessibility model partially extend into the neighboring foreign country. This is particularly the case with the geographic market Trier, which extends into Luxembourg. In Luxembourg, due to state regulation of fuel prices and different taxation, there are different competitive conditions with an overall significantly lower fuel price level than in Germany. The latter has led to significant fuel tourism for years, which is reflected in an under-average sales volume of the petrol stations on the German side. Despite the significant outflow of demand, a portion of the demand for fuels, however, remains permanently in the Trier area. For this portion of demand, the Luxembourg petrol stations apparently do not represent an alternative. This overall suggests that the demand in the Trier area is divided into a price-elastic part covered in Luxembourg and a price-inelastic part covered in Trier. Therefore, from the perspective of the Federal Cartel Office, the part of the catchment area of Trier located in Luxembourg with a driving time of 30 minutes does not belong to the relevant geographic market. Nevertheless, the effects of the competitive conditions in Luxembourg on the market Trier located in Germany were taken into account in the competitive assessment.</w:t>
      </w:r>
    </w:p>
    <w:p>
      <w:r>
        <w:t>Competitive Effects</w:t>
      </w:r>
    </w:p>
    <w:p>
      <w:r>
        <w:t>According to the preliminary assessment of the merger effects, coordinated effects in the form of the reinforcement of an existing jointly dominant position of the companies BP/Aral, Shell, and Total in the markets for the sale of petrol and diesel fuels in the regional market Trier would have been expected as a result of the project. According to the preliminary assessment of the Federal Cartel Office, Esso is also still to be attributed to the dominant oligopoly, although the operation of the Esso petrol stations was outsourced by the parent company in 2018 and sold to another company. Regarding Jet, there are rather indications that the company is no longer part of the group of jointly dominant companies. However, Jet is – regardless of whether the company is still to be attributed to the dominant oligopoly or not.</w:t>
      </w:r>
    </w:p>
    <w:p>
      <w:r>
        <w:rPr>
          <w:b/>
        </w:rPr>
        <w:t>[Pages 4–6]</w:t>
      </w:r>
    </w:p>
    <w:p>
      <w:r>
        <w:t>– in any case, in the Trier market, given its only minor presence here, not in a position to disrupt the coordination of the jointly dominant companies. The market shares of the jointly dominant companies in the Trier market were around or just below the statutory presumptions for joint market dominance before the merger. According to the preliminary assessment of the Federal Cartel Office, it was still to be assumed that there was a jointly dominant position, as established in the sector inquiry on fuels and in previous individual case decisions. Although there have been changes in the nationwide structural factors since the sector inquiry on fuels and the previous decisions, despite these changes, the structural conditions for the existence of a jointly dominant position in the Trier market are still present. The decisive factors for this are particularly the stability of the fuel markets, the still significant symmetry of the jointly dominant companies, the reduced but still existing interconnections between them, and the very high market transparency. The jointly dominant companies also still have effective sanction mechanisms available to quickly punish deviating behavior. Their scope for action is also not limited by effective external competition. With regard to a limitation of the competitive scope of action from the demand side, the introduction of the MTS-K has increased the (previously very asymmetrically distributed) market transparency in favor of the demanders. At the same time, noticeable changes in pricing behavior (shorter and stronger price cycles) are evident. Nevertheless, it cannot currently be assumed that the scope for behavior of the suppliers would be sufficiently limited by this. It should also be taken into account that demand remains highly fragmented.</w:t>
      </w:r>
    </w:p>
    <w:p>
      <w:r>
        <w:t>The actual competitive situation also confirms, according to the preliminary assessment of the Federal Cartel Office, the finding of a jointly dominant position in the Trier market. The pricing behavior of the various suppliers was examined based on price data from the MTS-K for the months of January to August 2018. The analysis initially shows that the price level in the Trier area is significantly above the national average and also above the level of the adjacent market areas of Wittlich and Bitburg. According to the available price data, Trier is regularly one of the cities with the highest fuel prices in the nationwide comparison. In the city area of Trier, the brand petrol stations represented there also price very uniformly. The target company Görgen, as the operator of the Total petrol stations there, pursues a high-price strategy in the Trier market and exhibits a pricing behavior that largely aligns with that of the jointly dominant companies even before the merger.</w:t>
      </w:r>
    </w:p>
    <w:p>
      <w:r>
        <w:t>The merger would have strengthened the already existing jointly dominant position according to the preliminary assessment of the Federal Cartel Office. With Görgen, Total would have acquired a petrol station network in the Trier area that conveys a comparable market position to that of the leading supplier BP/Aral. The market shares of the jointly dominant companies and Görgen would have been over 80 percent after the merger, thus significantly above the presumption thresholds. Through the merger, the previously only temporarily existing connection between Total and Görgen for brand usage would have been permanently and completely structurally solidified. Although the relevant petrol stations are already operated under the Total brand, the merger would have led to a structural change fulfilling the prohibition conditions due to the deepened and no longer just temporary connection compared to the relevant comparison scenario without the merger. The permanent integration of Görgen into the group of jointly dominant companies would have further improved the already favorable conditions for stable coordination. Without the merger, there was at least some risk that Görgen could change its pricing behavior and deviate from the coordination to which the company was already implicitly adhering. Given Görgen's high market shares, such behavior could have temporarily disrupted the discipline of non-competitive parallel behavior in the Trier market. The merger would have permanently eliminated the residual risk of Görgen deviating, thereby stabilizing the already possible coordination of pricing behavior before the merger. The remaining leading suppliers in the market must, however, expect that in the event of price increases, (further) demand may possibly shift to some extent to neighboring Luxembourg. In competitive terms, it should be noted that the operators of the relevant petrol stations across the border to Luxembourg are predominantly the same suppliers as in the Trier market. As a result of the merger, the suppliers would therefore have had improved opportunities to stabilize the price difference between the Trier market and the adjacent regional markets in Germany and Luxembourg through a more stable coordinated market behavior, possibly even to increase it further. This would have negatively affected the price-inelastic fuel demand in the Trier market.</w:t>
      </w:r>
    </w:p>
    <w:p>
      <w:r>
        <w:t>In the other geographic markets affected by the merger (Bitburg 60 minutes, Wittlich 60 minutes, Herforst 60 minutes, Mülheim 60 minutes, and Tholey-Hasborn 60 minutes), the preliminary assessment of the Federal Cartel Office leaves open whether a jointly dominant position of the suppliers BP/Aral, Shell, Total, and Esso existed even before the merger and whether Jet belonged to such a jointly dominant group of companies. Any existing jointly dominant position would not have been strengthened by the merger. The merger would also not have led to the creation of a jointly dominant position if such did not already exist. The main reasons for this were particularly lower joint market shares than in the Trier market 30 minutes for both the aforementioned leading petrol station operators and especially the target company. Furthermore, the presence of a medium-sized competitor with significant market shares in most of these markets and numerous other external competitors in all other affected markets should be taken into account. The analysis of pricing behavior also confirmed that in these markets the price level is lower than in the Trier market and that – despite the price behavior of the nationally leading mineral oil companies also following the nationwide pattern in these markets – external competition with lower prices and partially differing pricing patterns is evident.</w:t>
      </w:r>
    </w:p>
    <w:p>
      <w:r>
        <w:t>The project was examined within the framework of a main merger control procedure. The procedure has ended due to the withdrawal of the notification without a formal decision by the Federal Cartel Office. The merger may therefore not be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