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https://www.bundeskartellamt.de/SharedDocs/Entscheidung/DE/Fallberichte/Kartellverbot/2015/B8-78-13.pdf;jsessionid=2483EB802D0F58E9E77F57F20152EA13.2_cid387?__blob=publicationFile&amp;v=2</w:t>
      </w:r>
    </w:p>
    <w:p>
      <w:r>
        <w:t>Pages translated : 9</w:t>
      </w:r>
    </w:p>
    <w:p/>
    <w:p>
      <w:r>
        <w:rPr>
          <w:b/>
        </w:rPr>
        <w:t>[Pages 1–3]</w:t>
      </w:r>
    </w:p>
    <w:p>
      <w:r>
        <w:t>1</w:t>
        <w:br/>
        <w:t>Case Report May 29, 2015</w:t>
        <w:br/>
        <w:t>Higher Regional Court of Düsseldorf Confirms Antitrust Violation of the Remuneration Regulation of the "Irsching Contracts"</w:t>
        <w:br/>
        <w:t>Industry: Electricity Generation</w:t>
        <w:br/>
        <w:t>File Number: B8-78/13; P-65/14</w:t>
        <w:br/>
        <w:t>Date of Decision: May 19, 2015</w:t>
        <w:br/>
        <w:t>The Federal Cartel Office, in close coordination with the Federal Network Agency, conducted an antitrust administrative procedure under Art. 101 TFEU, § 32 GWB against E.ON Kraftwerke GmbH ("E.ON"), Gemeinschaftskraftwerk Irsching GmbH ("GKI"), and the transmission system operator TenneT TSO GmbH ("TenneT") due to two agreements dated April 26, 2013, which restricted the electricity generation of the Irsching 4 and Irsching 5 power plants.</w:t>
      </w:r>
    </w:p>
    <w:p>
      <w:r>
        <w:t>In parallel to the proceedings of the Federal Cartel Office, there was a procedure pending at the Higher Regional Court of Düsseldorf concerning the regulatory basis of the "Irsching Contracts." Various energy supply companies had approached the Higher Regional Court regarding a determination by the Federal Network Agency that regulated payments for power plant operations at the request of the network operators.</w:t>
      </w:r>
    </w:p>
    <w:p>
      <w:r>
        <w:t>Since the significance of the antitrust proceedings extended beyond the individual case of Irsching, the Federal Cartel Office exercised its right to comment under § 90 GWB, Art. 15 para. 3 Regulation 1/2003 within the OLG proceedings. The Higher Regional Court of Düsseldorf confirmed the legal opinion of the Federal Cartel Office in a decision dated April 28, 2015: "The Federal Cartel Office has plausibly explained in its statement that the contractual design has resulted in a restriction of electricity generation, thus constituting an anti-competitive agreement under Art. 101 para. 1 TFEU. The Federal Cartel Office has comprehensively and understandably demonstrated how the inversely proportional remuneration regulation creates an incentive to operate a power plant in as minimal a market-driven manner as possible."1</w:t>
        <w:br/>
        <w:t>1 Cf. OLG Düsseldorf, decision of April 28, 2015, VI-3 Kart 332/12 (V), p. 64.</w:t>
      </w:r>
    </w:p>
    <w:p>
      <w:r>
        <w:t>2</w:t>
        <w:br/>
        <w:t>The antitrust violation of the remuneration regulation of the "Irsching Contracts" has been sufficiently clarified by the decision of the Higher Regional Court of Düsseldorf. According to the assessment of the Federal Cartel Office, there is no longer any risk of repetition. An antitrust-violating contractual clause is invalid pursuant to § 134 BGB. Due to the decision of the Higher Regional Court of Düsseldorf, the conclusion of contracts with such remuneration regulations for further power plants is excluded. Thus, the proceedings of the Federal Cartel Office could be terminated on May 19, 2015.</w:t>
      </w:r>
    </w:p>
    <w:p>
      <w:r>
        <w:t>1. Energy Industry Context</w:t>
        <w:br/>
        <w:t>Power plant operators plan the deployment of their power plants for electricity generation individually. However, actual electricity feed-in according to the individual deployment plans could lead to the overloading of individual power lines or network nodes. In order for the transmission system operators (ÜNB) to recognize impending overloads in a timely manner and take countermeasures, the power plant operators notify the ÜNB of the intended electricity feed-in each day in advance. Based on the entirety of these power plant schedules, the ÜNB conduct network load calculations. If the overload of a network element is imminent, the ÜNB are entitled and obliged under § 13 EnWG to make corresponding network adjustments or intervene in the operation of the power plants. Typically, power plants are reduced in output "before" a network bottleneck and increased in output "behind" a network bottleneck (so-called "redispatch"). Power plant operators are obliged under § 13 para. 1a EnWG to adjust their operation at the request of the ÜNB. For redispatch operations, the power plant operators receive a remuneration from the respective network operator. The redispatch costs are not borne by the network operators in the economic result but are passed on to electricity customers through network fees.</w:t>
      </w:r>
    </w:p>
    <w:p>
      <w:r>
        <w:t>The Federal Network Agency established criteria for determining appropriate remuneration for redispatch measures with the determination BK8-12-019 on October 30, 2012, thereby further specifying the framework of § 13 para. 1a EnWG. The determination was annulled by the Higher Regional Court of Düsseldorf with the decisions of April 28, 2015. It generally provided for a reimbursement of expenses for redispatch operations, so that redispatch should not lead to profits or losses for the power plant operators. Under certain conditions, network operators and power plant operators - in coordination with the Federal Network Agency - could agree on a remuneration exceeding the reimbursement of expenses. Such additional remuneration was provided for in clause 5 of the determination in the event that redispatch measures affected more than 10% of the feed-in quantities of the previous year of a generation facility. A mathematical exceeding of the 10% threshold did not necessarily mean that the corresponding power plant block was significantly used for redispatch operations. In the case of low usage for redispatch measures, a mathematical exceeding of the 10% threshold could also arise from the fact that the total feed-in quantity of the affected power plant was low in the previous year.</w:t>
      </w:r>
    </w:p>
    <w:p>
      <w:r>
        <w:t>2. Facts</w:t>
        <w:br/>
        <w:t>On April 26, 2013, TenneT entered into a contract with E.ON and GKI for the Irsching 4 and Irsching 5 power plants, respectively, "to specify the remuneration of a performance share in redispatch measures" for the term from April 1, 2013, to March 31, 2016 (hereinafter: the "Irsching Contracts"). The Irsching Contracts for the first time specified nationwide the "additional" remuneration option provided for in clause 5 of the determination BK8-12-019. Clause 4.1 of the Irsching Contracts stipulated that the remuneration to be paid by TenneT to E.ON or GKI - beyond the reimbursement of expenses - is calculated according to the following formula:</w:t>
        <w:br/>
        <w:t>Remuneration = XX million euros x (amount fed in due to redispatch in the calendar year / total amount fed in during the calendar year).</w:t>
        <w:br/>
        <w:t>The payments to the power plant operators thus increased according to the remuneration formula the less the power plants were used in the "regular" generation markets - i.e., outside of redispatch measures. The determination of the multiplier of XX million euros was made in a flat-rate manner based on the Electricity Network Charges Ordinance. The multiplier was intended to correspond to the total annual "fixed costs" of the power plant plus a "reasonable" profit. The multiplier primarily consisted of (fictitious) depreciation, "equity interest," and interest on borrowed capital. According to E.ON and GKI, the exact value of the multipliers constitutes business and trade secrets.</w:t>
      </w:r>
    </w:p>
    <w:p>
      <w:r>
        <w:t>According to clause 3.1 of the Irsching Contracts, E.ON or GKI committed to operate the power plant "as previously market-driven."</w:t>
      </w:r>
    </w:p>
    <w:p>
      <w:r>
        <w:t>When the Federal Cartel Office became aware of the remuneration regulation, it initiated an antitrust procedure. In a letter dated August 7, 2013, it detailed the antitrust concerns under Art. 101 TFEU regarding the remuneration regulation contained in clause 4.1 of the Irsching Contracts and presented several antitrust-compliant regulatory alternatives to the parties. The Federal Network Agency informed the parties in a letter dated September 24, 2013, that the payment reductions from the Irsching Contracts should not be included in the operational decisions of the two power plants.</w:t>
      </w:r>
    </w:p>
    <w:p>
      <w:r>
        <w:rPr>
          <w:b/>
        </w:rPr>
        <w:t>[Pages 4–6]</w:t>
      </w:r>
    </w:p>
    <w:p>
      <w:r>
        <w:t>4</w:t>
        <w:br/>
        <w:t>Nevertheless, in the subsequent period, there was no mutual contractual adjustment between the parties.</w:t>
      </w:r>
    </w:p>
    <w:p>
      <w:r>
        <w:t>In the year before the conclusion of the Irsching contracts, the power plants were still used to a significant extent in the regular electricity market. In contrast, the power plants did not produce electricity for the "regular" market at any hour throughout the entire year of 2014.</w:t>
      </w:r>
    </w:p>
    <w:p>
      <w:r>
        <w:t>According to the assessment of the Federal Cartel Office, the significance of the two contracts extended beyond the individual case, as on one hand, the transmission system operators are obligated under the Energy Industry Act (EnWG) to treat power plant operators without discrimination, and on the other hand, the Federal Network Agency must exercise its discretion according to uniform principles. Based on a nationwide survey of redispatch operations in June 2014, the Federal Cartel Office determined that several other power plants had since exceeded the 10% threshold of the determination. The power plant operators demanded a corresponding additional remuneration based on the model of the "Irsching Contracts." The transmission system operators and the Federal Network Agency did not comply with these demands, citing the antitrust concerns of the Federal Cartel Office.</w:t>
      </w:r>
    </w:p>
    <w:p>
      <w:r>
        <w:t>3. Economic Effectiveness of the Remuneration Regulation</w:t>
        <w:br/>
        <w:t>According to the agreed remuneration formula, the payment claim of the power plant operator depended not only on the extent of the redispatch operation but also on the extent of regular electricity generation. With each MWh of electricity generated outside a redispatch measure, the payments that the power plant operator receives from the transmission system operator (TenneT) decrease. Conversely, the payment increases if the power plant operator restricts its regular electricity generation. An economically rational power plant operator will take this relationship into account when deciding on the deployment of the power plant in the electricity generation market.</w:t>
      </w:r>
    </w:p>
    <w:p>
      <w:r>
        <w:t>The deployment of a power plant is usually economically sensible for a power plant operator when the electricity revenue achievable (e.g., at the electricity exchange) exceeds the marginal costs of generation. However, the remuneration regulation significantly alters the deployment calculus of the power plants. From the perspective of the power plant operators, market deployment is only sensible if the achievable electricity revenue is higher than the marginal costs of generation plus the payment reduction according to clause 4.1 of the Irsching contracts. The remuneration formula acts like a premium that the power plant operator receives when it restricts its regular electricity generation.</w:t>
      </w:r>
    </w:p>
    <w:p>
      <w:r>
        <w:t>5</w:t>
        <w:br/>
        <w:t>In comparison to typical marginal generation costs and typical electricity exchange prices, the reduction amounts were significantly substantial. Therefore, the remuneration regulation was expected to lead to a strong restriction of the regular electricity generation of the two power plants. As a result of the remuneration regulation, deployment during hours of a year with above-average high electricity prices was generally no longer economically sensible for the power plant operators. According to the remuneration formula of clause 4.1 of the contracts, the two power plant operators, if they do not deploy the power plants at all in the "regular" generation market (i.e., outside of redispatch measures) during the contract period, would cover their entire fixed costs and additionally achieve a "reasonable" profit. Thus, there would be no market risks for the two power plants during the contract period, only opportunities.</w:t>
      </w:r>
    </w:p>
    <w:p>
      <w:r>
        <w:t>The expected restriction of generation simultaneously leads to an increase in wholesale electricity prices. At the electricity exchange, the last bid that is accepted determines the market price. The operators of the Irsching 4 and 5 power plants would, with economically rational behavior at the exchange, no longer bid at the previous marginal costs but would increase their bids by the amount of the payment reduction from the contract with TenneT. Due to the bid increase, the power plants would correspondingly be selected less frequently. Instead, the power plants with the next highest bids would come into operation, resulting in a corresponding price increase at the exchange.</w:t>
      </w:r>
    </w:p>
    <w:p>
      <w:r>
        <w:t>4. Legal Opinion of the Federal Cartel Office</w:t>
        <w:br/>
        <w:t>In the context of the antitrust administrative procedure and in the amicus curiae statement, the Federal Cartel Office expressed the preliminary legal opinion that the remuneration regulation violates Art. 101 TFEU. Of particular importance was the assessment of whether the remuneration regulation "intends" and/or "effects" a restriction of competition within the meaning of Art. 101 TFEU.</w:t>
      </w:r>
    </w:p>
    <w:p>
      <w:r>
        <w:t>In this regard, the Federal Cartel Office stated in its letter to the parties dated August 7, 2013: "[...] In examining whether an agreement contains an 'intended' restriction of competition within the meaning of Art. 101(1) TFEU, the content of its provisions and the objectives pursued with it, as well as the economic and legal context in which it stands, must be considered. The specifics of the affected markets must also be taken into account in the assessment. For the distinction from an 'effected' restriction of competition, it is significant whether the agreement is inherently harmful to the proper functioning of normal competition. For an anti-competitive purpose, it is sufficient if the agreement has the potential to have negative effects on competition, i.e., if it is specifically suitable to lead to a restriction of competition.2</w:t>
      </w:r>
    </w:p>
    <w:p>
      <w:r>
        <w:t>According to the principles developed in case law, the remuneration regulation in clause 4.1 of the relevant contracts is likely to be classified as an intended restriction of competition concerning the primary market for conventionally generated electricity. Although it cannot be assumed for the party TenneT that it pursues an anti-competitive intent with the agreement, as TenneT does not derive any discernible advantage from a restriction of regular electricity generation, the remuneration regulation in clause 4.1 of the relevant contracts is, however, inherently harmful to competition and is also specifically suitable to restrict competition in the market for the initial sale of conventionally generated electricity. A restriction of generation is a typical example of both Art. 101 TFEU and Art. 102 TFEU.</w:t>
      </w:r>
    </w:p>
    <w:p>
      <w:r>
        <w:t>The specific suitability of the agreement to restrict generation lies in the fact that the power plant operator receives a higher payment from TenneT under clause 4.1 if it restricts its regular electricity generation. In this respect, there is a similarity to cases of "paid shutdown."3 Regarding the economic and legal context in which the agreement stands, it is particularly relevant that the two parties do not incur any economic risks by concluding the agreement. For TenneT, as a cost-regulated monopolist, the agreement is profit-neutral, and the two power plants achieve a secured minimum profit as a result of the agreement. Unlike typical horizontal or vertical core restrictions, the parties do not even have an incentive to deviate "secretly" from the agreement. Furthermore, the electricity generation market is particularly susceptible to a restriction of generation due to its characteristics (compared to other markets). Accordingly, competition authorities have repeatedly dealt with suspected cases of abusive capacity withholding.4 The German legislator also felt compelled to establish the Market Transparency Agency to effectively and quickly uncover and sanction such generation restrictions.5</w:t>
      </w:r>
    </w:p>
    <w:p>
      <w:r>
        <w:t xml:space="preserve">2 See ECJ, C-32/11, judgment of March 14, 2013, paras. 31-51, with further references, cited in Juris. </w:t>
        <w:br/>
        <w:t xml:space="preserve">3 See e.g., KG Berlin, Kart 2/98, decision of September 11, 1998, WuW/E DE-R 228-232; OLG Düsseldorf, VI-2a Kart 2 - 6/08 OWi, judgment of June 26, 2009, paras. 141 et seq., cited in Juris. </w:t>
        <w:br/>
        <w:t xml:space="preserve">4 See BKartA, report on the sector inquiry into electricity generation/electricity wholesale, January 2011, pp. 115-122. </w:t>
        <w:br/>
        <w:t>5 See BT-Drs. 17/10060.</w:t>
      </w:r>
    </w:p>
    <w:p>
      <w:r>
        <w:rPr>
          <w:b/>
        </w:rPr>
        <w:t>[Pages 7–9]</w:t>
      </w:r>
    </w:p>
    <w:p>
      <w:r>
        <w:t>7</w:t>
        <w:br/>
        <w:t>If the agreement concerns a vertical relationship, the existence of an intended restriction of competition is not excluded.6 If one were to consider the remuneration regulation merely as an actual restriction of competition, it would need to be examined whether it meets the appreciability criterion.7 This is to be assumed in the present case. From the mechanism explained above, it follows that a restriction of the generation of the two power plants is to be expected for a significant number of hours. Due to the characteristics of the primary market for conventionally generated electricity, a (short-term) restriction of generation directly leads to a price increase. Given the size of the two power plants (a total of 1396 MW), a noticeable price increase is to be expected. In the case of a short-term removal of "inframarginal" capacity of 1000 MW, it is typically assumed that there would be an average price increase in the range of approximately 1-2 Euro/MWh,8 which, when extrapolated to the total amount of conventionally generated electricity in Germany and Austria, would correspond to a price effect in the range of 500-1000 million Euros per year. Although the two power plants do not represent inframarginal capacities throughout the entire year under the current market conditions, the price effects are still likely to be significant. E.ON can benefit from these price effects with its other power plants.</w:t>
      </w:r>
    </w:p>
    <w:p>
      <w:r>
        <w:t>The already appreciable anti-competitive effect of the two contracts could, however, be significantly stronger, as analogous contracts between TenneT and other power plant operators cannot be ruled out.9 TenneT is obligated under the provisions of the EnWG to treat all power plant operators without discrimination. It is not apparent how TenneT could deny other power plant operators who meet the 10% criterion the conclusion of a corresponding contract. The possibility of strategic behavior by other power plant operators must also be taken into account: Following the disclosure of the remuneration regulation, there would be significant incentives for operators of southern German power plants to reduce regular generation (e.g., in 2013) in order to exceed the 10% threshold and thus also benefit from such a contract starting the following year.10 The decision-making department cannot currently assess to what extent analogous agreements with other southern German power plants would be expected in practice. In the event of the conclusion of analogous agreements, significant market distortions with correspondingly rising wholesale electricity prices and grid fees would be to be feared due to the cumulative effect.</w:t>
      </w:r>
    </w:p>
    <w:p>
      <w:r>
        <w:t>Furthermore, the contracts are likely to be causally linked to the restriction of competition. To compensate a power plant operator for a standby service, it does not seem necessary to make the amount of this compensation dependent on the regularly generated electricity quantity. Various alternative contractual arrangements are conceivable that would avoid a restriction of regular generation. Moreover, the decision BK8-12-019 of the Federal Network Agency does not stipulate that the contracting parties must take the regularly generated electricity quantities into account in the remuneration regulation. Even if one were to read such a precondition into the decision, it would be irrelevant for the applicability of Art. 101 TFEU.11 […]</w:t>
      </w:r>
    </w:p>
    <w:p>
      <w:r>
        <w:t>In its amicus curiae statement of July 31, 2014, the Federal Cartel Office added: “[…] TenneT defends itself against these antitrust concerns with the argument that clause 3.1 of the Irsching contracts obliges the power plant operators to a ‘market-driven’ deployment of power plants, thereby excluding a restriction of generation. According to the Federal Cartel Office, a ‘cure’ of the competition restriction contained in the remuneration regulation through a marketing obligation would theoretically be conceivable. However, this would require effective enforcement of a comprehensive marketing obligation.</w:t>
      </w:r>
    </w:p>
    <w:p>
      <w:r>
        <w:t>E.ON and GKI have particularly argued regarding the antitrust concerns of the Federal Cartel Office that they would have (temporarily) shut down Irsching 4 and 5 without the agreement in question, so that there would have been no ‘regular’ electricity generation during the contract period (without the agreement). However, according to the Federal Cartel Office, this argument does not take into account the correct alternative scenario (‘counterfactual’): The antitrust-relevant alternative scenario is a contract based on tenor clause 5 of the contested determination, which contains a restriction-free (‘incentive-compatible’) remuneration regulation.12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