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http://www.bundeskartellamt.de/SharedDocs/Entscheidung/DE/Fallberichte/Fusionskontrolle/2013/B8-92-13.pdf;jsessionid=F9779694833EBB9A2B4D5C5DC8312A87.1_cid362?__blob=publicationFile&amp;v=3</w:t>
      </w:r>
    </w:p>
    <w:p>
      <w:r>
        <w:t>Pages translated : 3</w:t>
      </w:r>
    </w:p>
    <w:p/>
    <w:p>
      <w:r>
        <w:rPr>
          <w:b/>
        </w:rPr>
        <w:t>[Pages 1–3]</w:t>
      </w:r>
    </w:p>
    <w:p>
      <w:r>
        <w:t>1</w:t>
        <w:br/>
        <w:t>Case Report July 23, 2013</w:t>
        <w:br/>
        <w:t>Removal of the time limitation on a minority stake of RWE in Stadtwerke Ahaus GmbH</w:t>
        <w:br/>
        <w:t>Sector: Energy Supply</w:t>
        <w:br/>
        <w:t>File Number: B8 – 92/13</w:t>
        <w:br/>
        <w:t>Date of Release: June 24, 2013</w:t>
        <w:br/>
        <w:t>The Federal Cartel Office has approved the project to remove the time limitation on a minority stake of RWE Deutschland AG (RWE) in Stadtwerke Ahaus GmbH (SW Ahaus) in the first phase of the merger control review. A specific deterioration of competitive conditions (i.e., the strengthening of any dominant market position) could not be established in the affected markets. After the execution of the project, RWE will hold 36% of the shares in SW Ahaus indefinitely.</w:t>
        <w:br/>
        <w:t>In the 1990s, energy suppliers participated in municipal utilities in over 30 cases on a time-limited basis1. The participation of RWE in SW Ahaus was limited until December 31, 2013. The removal of the time limitation on the stake constitutes a merger within the meaning of § 37 Abs. 1 GWB, as RWE would have exited the shareholder group of SW Ahaus without the removal of the time limitation2.</w:t>
        <w:br/>
        <w:t>The Federal Cartel Office approved the removal of the time limitation because a specific deterioration of competitive conditions (i.e., the strengthening of any dominant market position) could not be established. SW Ahaus is a relatively small municipal utility in a nationwide comparison. In the nationwide delineated electricity end consumer markets3, the sales of SW Ahaus correspond to a share of (significantly) under 0.1%. Likewise, the merger could only lead to the isolation of a correspondingly small buyer in the generation market for conventional electricity.</w:t>
        <w:br/>
        <w:t xml:space="preserve">Competitive concerns regarding a merger that would not, in itself, have identifiable effects may still exist if the merger has a sustainably negative market impact in the overall assessment of an acquisition strategy4. </w:t>
        <w:br/>
        <w:t>After the liberalization of the electricity markets, a strategy of the large electricity companies (particularly RWE and E.ON) to participate in numerous municipal utilities was observed. In this context, even "smaller" merger projects were to be regarded as part of a strategy by the electricity companies to close off sales markets to competitors5.</w:t>
        <w:br/>
        <w:t>A strategy of the large electricity companies to participate in numerous municipal utilities no longer exists. The large energy suppliers have announced significant divestitures or have been carrying them out for some time. For instance, E.ON, in particular, has divested significant municipal utility holdings with Thüga AG and E.ON Thüringer Energie AG. RWE's divestment program also includes, according to its own statements, German energy supply companies. Recently, RWE sold its shares in KEVAG.</w:t>
        <w:br/>
        <w:t>Due to market developments, it is no longer plausible that a potential customer isolation strategy through the acquisition of municipal utility stakes could still be successfully practiced during the forecast period. The damage theory of customer isolation is based on the premise that the merger makes an "indispensable" buyer no longer accessible to current or potential competitors, resulting in negative cost effects for current competitors or preventing potential competitors from entering the market6.</w:t>
        <w:br/>
        <w:t>In this context, the significantly increased importance of wholesale markets in recent years must also be taken into account. According to findings in energy monitoring, the electricity wholesale markets are characterized by increasing and now high liquidity7. An electricity producer is no longer necessarily dependent on a "personal" customer access due to the presence of a sufficiently liquid electricity exchange. For competitors of the four largest electricity generation companies, access to large electricity customers no longer represents a bottleneck factor.</w:t>
        <w:br/>
        <w:t>No market power-enhancing effects of the removal of the time limitation were identified in other markets affected by the merger.</w:t>
        <w:br/>
        <w:t>4 cf. Federal Cartel Office, Guidelines on Market Dominance in Merger Control, Rz. 15 f.</w:t>
        <w:br/>
        <w:t>5 cf. BKartA, Decision of September 12, 2003, B8-21/03, "E.ON/Eschwege", pp. 15-17; confirmed by: OLG Düsseldorf, Decision of June 6, 2007, VI-2 Kart 7/04, Rz. 96; BGH, Decision of November 11, 2008, KVR 60/07, Rz. 63</w:t>
        <w:br/>
        <w:t>6 cf. Federal Cartel Office, Guidelines on Market Dominance in Merger Control, Rz. 143 ff.</w:t>
        <w:br/>
        <w:t>7 Monitoring Report 2012, pp. 93 ff.</w:t>
      </w:r>
    </w:p>
    <w:p>
      <w:r>
        <w:t>3</w:t>
        <w:br/>
        <w:t>In this context, the removal of the time limitation on RWE's stake in SW Ahaus did not raise any merger control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