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https://www.bundeskartellamt.de/SharedDocs/Entscheidung/DE/Entscheidungen/Missbrauchsaufsicht/2011/B8-95-10.pdf;jsessionid=424F977E6E1E62C60EC656F2F6B5414D.2_cid362?__blob=publicationFile&amp;v=3</w:t>
      </w:r>
    </w:p>
    <w:p>
      <w:r>
        <w:t>Pages translated : 48</w:t>
      </w:r>
    </w:p>
    <w:p/>
    <w:p>
      <w:r>
        <w:rPr>
          <w:b/>
        </w:rPr>
        <w:t>[Pages 1–3]</w:t>
      </w:r>
    </w:p>
    <w:p>
      <w:r>
        <w:t xml:space="preserve">8. Decision Division  </w:t>
        <w:br/>
        <w:t xml:space="preserve">B 8 - 95/10  </w:t>
        <w:br/>
        <w:t xml:space="preserve">For publication  </w:t>
        <w:br/>
        <w:t xml:space="preserve">Decision pursuant to § 32c GWB  </w:t>
        <w:br/>
        <w:t xml:space="preserve">Decision  </w:t>
        <w:br/>
        <w:t xml:space="preserve">In the antitrust administrative procedure  </w:t>
        <w:br/>
        <w:t xml:space="preserve">Autobahn Tank &amp; Rast GmbH  </w:t>
        <w:br/>
        <w:t xml:space="preserve">Andreas-Hermes-Straße 7-9  </w:t>
        <w:br/>
        <w:t xml:space="preserve">53175 Bonn  </w:t>
        <w:br/>
        <w:t xml:space="preserve">- Affected Party -  </w:t>
        <w:br/>
        <w:t xml:space="preserve">Federal Association of Independent Service Stations and Independent German Oil Dealers e.V.  </w:t>
        <w:br/>
        <w:t xml:space="preserve">Ippendorfer Allee 1d  </w:t>
        <w:br/>
        <w:t xml:space="preserve">53127 Bonn  </w:t>
        <w:br/>
        <w:t xml:space="preserve">- Joined Party 1 -  </w:t>
        <w:br/>
        <w:t xml:space="preserve">UNITI Federal Association of Medium-Sized Oil Companies e.V.  </w:t>
        <w:br/>
        <w:t xml:space="preserve">Jägerstraße 6  </w:t>
        <w:br/>
        <w:t xml:space="preserve">10117 Berlin  </w:t>
        <w:br/>
        <w:t xml:space="preserve">- Joined Party 2 -  </w:t>
        <w:br/>
        <w:t xml:space="preserve">Working Group BAT of Suppliers to Federal Motorway Service Stations  </w:t>
        <w:br/>
        <w:t xml:space="preserve">Parkallee 18  </w:t>
        <w:br/>
        <w:t xml:space="preserve">22926 Ahrensburg  </w:t>
        <w:br/>
        <w:t>- Joined Party 3 -</w:t>
      </w:r>
    </w:p>
    <w:p>
      <w:r>
        <w:t xml:space="preserve">- 2 -  </w:t>
        <w:br/>
        <w:t xml:space="preserve">TOTAL Deutschland GmbH  </w:t>
        <w:br/>
        <w:t xml:space="preserve">Schützenstraße 25  </w:t>
        <w:br/>
        <w:t xml:space="preserve">10117 Berlin  </w:t>
        <w:br/>
        <w:t xml:space="preserve">- Joined Party 4 -  </w:t>
        <w:br/>
        <w:t xml:space="preserve">Shell Deutschland Oil GmbH  </w:t>
        <w:br/>
        <w:t xml:space="preserve">Suhrenkamp 71-77  </w:t>
        <w:br/>
        <w:t xml:space="preserve">22284 Hamburg  </w:t>
        <w:br/>
        <w:t xml:space="preserve">- Joined Party 5 -  </w:t>
        <w:br/>
        <w:t xml:space="preserve">DKV EURO SERVICE GmbH + Co. KG  </w:t>
        <w:br/>
        <w:t xml:space="preserve">Vogelsanger Weg 49  </w:t>
        <w:br/>
        <w:t xml:space="preserve">40470 Düsseldorf  </w:t>
        <w:br/>
        <w:t xml:space="preserve">- Joined Party 6 -  </w:t>
        <w:br/>
        <w:t xml:space="preserve">Authorized representatives: Attorneys Milbank, Tweed, Hadley &amp; McCloy LLP  </w:t>
        <w:br/>
        <w:t xml:space="preserve">Maximilianstraße 15, 80539 Munich  </w:t>
        <w:br/>
        <w:t xml:space="preserve">BP Europa SE  </w:t>
        <w:br/>
        <w:t xml:space="preserve">Wittener Straße 45  </w:t>
        <w:br/>
        <w:t xml:space="preserve">44789 Bochum  </w:t>
        <w:br/>
        <w:t xml:space="preserve">- Joined Party 7 -  </w:t>
        <w:br/>
        <w:t xml:space="preserve">to examine the provisions of the affected party regarding the award of its supply and distribution rights for fuels at federal motorway service stations starting from January 1, 2013, the  </w:t>
        <w:br/>
        <w:t xml:space="preserve">8. Decision Division decided on January 14, 2011, pursuant to § 32c of the Act Against Restraints of Competition1:  </w:t>
        <w:br/>
        <w:t xml:space="preserve">1  </w:t>
        <w:br/>
        <w:t>Act Against Restraints of Competition as published on July 15, 2005 (BGBl. I 2114; 2009 I 3850), last amended by Art. 13 Abs. 21 of the Act of May 25, 2009 (BGBl. I 1102) - Act Against Restraints of Competition (GWB).</w:t>
      </w:r>
    </w:p>
    <w:p>
      <w:r>
        <w:t xml:space="preserve">- 3 -  </w:t>
        <w:br/>
        <w:t xml:space="preserve">1. Subject to new findings, there is no reason for the Decision Division to take action regarding the provisions submitted by the affected party in its letter dated July 16, 2010, and clarified and supplemented by letters or emails dated December 2, 3, and 8, 2010, as well as January 14, 2011, concerning the award of supply and distribution rights for fuels at federal motorway service stations starting from January 1, 2013.  </w:t>
        <w:br/>
        <w:t xml:space="preserve">2. The fee is set at ... The fee debtor is, according to § 80 Abs. 6 Sentence 1 No. 2 GWB, the affected party.  </w:t>
        <w:br/>
        <w:t xml:space="preserve">Reasons  </w:t>
        <w:br/>
        <w:t xml:space="preserve">Part 1.  </w:t>
        <w:br/>
        <w:t xml:space="preserve">Facts  </w:t>
        <w:br/>
        <w:t xml:space="preserve">I. The affected company  </w:t>
        <w:br/>
        <w:t xml:space="preserve">The affected party builds, finances, and leases service facilities for road users along federal motorways in Germany, which it also operates to a limited extent. Such service facilities - § 15 Abs. 1 Federal Highway Act2 refers to them as "ancillary operations" - include, in particular, service stations, rest areas, and hotels. The activities of the affected party also include the acquisition and sale of real estate as well as the provision of services for such facilities and operations. The service network of the affected party and the companies associated with it under § 36 Abs. 2 GWB comprises approximately 340 service stations, over 350 rest areas, and nearly 50 hotels on the motorways in Germany. In the fiscal year 2009, the company generated a revenue of €269.3 million. The earnings before taxes, interest, and depreciation amounted to €186.3 million. The majority of the shares in the affected party are indirectly held by the main shareholders, RREEF Infrastructure Two Lux Sarl (whose capital is provided by a fund ultimately managed by Deutsche Bank AG, which also controls it) and Monterrey Capital IV Sarl (which is a portfolio company of the Terra Firma Capital Partners II fund, whose general partner is Terra Firma Investments (GP) 2 Limited).  </w:t>
        <w:br/>
        <w:t xml:space="preserve">2  </w:t>
        <w:br/>
        <w:t>Federal Highway Act as published on June 28, 2007 (BGBl. I 1206), last amended by Art. 6 of the Act of July 31, 2009 (BGBl. I 2585) - Federal Highway Act (FStrG).</w:t>
      </w:r>
    </w:p>
    <w:p>
      <w:r>
        <w:rPr>
          <w:b/>
        </w:rPr>
        <w:t>[Pages 4–6]</w:t>
      </w:r>
    </w:p>
    <w:p>
      <w:r>
        <w:t>- 4 -</w:t>
        <w:br/>
        <w:t>A significant basis for the activities of the affected party are concessions for the construction and operation of ancillary businesses at federal motorways in accordance with § 15 Abs. 2 FStrG, which were concluded with the responsible road construction administrations of the federal states in a delegated administration for the federal government on a site-specific basis. The basis was a model concession agreement for the construction and operation of an ancillary business.3 In return, the affected party must pay a concession fee to the federal government in accordance with § 15 Abs. 3 FStrG, which is determined, among other things, by the sales volume (gasoline: 0.23008 €/100 l; diesel: 0.17895 €/100 l). The affected party grants the delivery and distribution rights for fuels at federal motorway service stations to fuel companies.</w:t>
      </w:r>
    </w:p>
    <w:p>
      <w:r>
        <w:t>II. The Management of Federal Motorway Service Stations</w:t>
        <w:br/>
        <w:t>Currently, there are approximately 340 service stations on German motorways. In addition, there are 30 so-called permitted operations, which are classified as federal motorway service stations after being upgraded from former road service stations. The subject of the present proceedings concerns 293 of the approximately 340 federal motorway service stations over which the affected party has control. The affected party is responsible for the construction and operation of these federal motorway service stations, including their leasing. It is the responsibility of the affected party and its owners to develop market strategies and approaches for a sustainable service offering in the area of federal motorway service stations through entrepreneurial decisions within the framework of existing laws and contracts. The federal government, particularly the Federal Ministry of Transport, Building and Urban Development, accompanies the respective developments in the interest of road users and traffic safety based on the legal and other framework conditions, for example, through their timely adaptation.</w:t>
      </w:r>
    </w:p>
    <w:p>
      <w:r>
        <w:t>Historically, the management of federal motorway service stations has developed as follows: The Federal Republic of Germany established the Gesellschaft für Nebenbetriebe der Bundesautobahnen mbH (short: GfN) in 1951. While, according to § 15 Abs. 2 Satz 1 FStrG a. F., the construction of ancillary businesses was reserved for the federal government at that time, the GfN was responsible for the leasing, management, and maintenance of the properties in accordance with § 15 Abs. 2 Satz 2 FStrG a. F. In a first step towards privatization, § 15 FStrG was amended4 to allow the construction of ancillary businesses to be transferred to third parties and the operation of ancillary businesses to be transferred to third parties, provided that public interests or special operational reasons do not stand in the way. In 1994, the GfN was renamed Autobahn Tank &amp; Rast AG. Also in 1994, the GfN acquired the Ostdeutsche Autobahntankstellengesellschaft mbH (short: OATG) with today 34 service stations. In 1998, the privatization of the GfN was finally realized. The Federal Republic of Germany offered its shares in the company to private investors as part of an auction process. The goals of privatization were, from a transport policy perspective, to strengthen the "Driving-Fueling-Resting" system on the motorway through a significant increase in attractiveness for customers based on private investments and entrepreneurial freedom of action. Another guiding principle was to continue and secure medium-sized structures in the area of lessees/operators. The contract was awarded to the acquiring consortium Allianz Capital Partners/Lufthansa Service Holding AG/APAX Fund. The European Commission approved the takeover.5 At the end of 2004, a portfolio company of the British Terra Firma Capital Partners II Fund indirectly became the main shareholder of the affected party.6 In June 2007, Deutsche Bank AG acquired a 50% stake through RREEF Pan European Infrastructure Two Lux Sarl.7</w:t>
      </w:r>
    </w:p>
    <w:p>
      <w:r>
        <w:t>III. The Distribution of Fuels through Federal Motorway Service Stations</w:t>
        <w:br/>
        <w:t>The majority of the distribution rights for gasoline and diesel fuel were granted by the affected party and its legal predecessors in the past according to the so-called quota model, in which the distribution rights at federal motorway service stations are generally awarded in proportion to the market shares at road service stations. Originally, the GfN granted the delivery rights for the sale of fuel at federal motorway service stations based on the market significance of the considered oil companies, namely limited to companies with a market share of at least 2.5% in their own name in the nationwide sales of gasoline at service stations. Following objections from the Federal Cartel Office in 1960/1961 regarding market dominance as well as discrimination and obstruction prohibitions, the lifting of this restriction was achieved. After the lifting of this market share threshold, particularly the smaller oil companies belonging to the party joined as respondent 1 still felt inadequately considered by the GfN in proportion to their market significance, the GfN assured in the context of a procedure conducted with the Federal Cartel Office that the awarding of service stations would meet the following conditions8: "The service stations on the federal motorways are generally awarded according to the market shares that the fuel trading companies have in the overall market of the Federal Republic. To enable the participation of companies with small market shares, motorway service stations ... are also awarded to two or more companies for joint management." Due to the variability of market shares, the Federal Cartel Office also deemed an appropriate reduction of the term of the BAT contracts (previously 10 years) necessary to allow for better adaptation to market conditions for gasoline fuels. The quota system, which was developed in the 1960s with the involvement of the Federal Cartel Office and oriented towards the market shares of the oil companies, was the basis of the awarding procedure for decades. The suppliers of the federal motorway service stations had established the party joined as respondent 3 to safeguard their interests, whose members included the established oil companies as well as the parties joined as respondents 1 and 2.</w:t>
      </w:r>
    </w:p>
    <w:p>
      <w:r>
        <w:t>On October 29, 1998, a framework agreement was concluded between the Federal Republic of Germany, represented by the Federal Ministry of Transport, Building and Housing, as well as Autobahn Tank &amp; Rast AG and OTAG, which is still valid today. According to this agreement, the affected party must ensure that delivery rights for their federal motorway service stations are granted to the oil companies participating in the German oil market and that the distribution of these rights is based on the shares in the supply of gasoline at public road service stations. In the event of a change to this regulation, § 3 of the framework agreement with the federal government provided for coordination with the responsible competition authorities. The preservation of medium-sized lessee/operator structures was and is to be adequately taken into account in accordance with § 4 of the framework agreement.</w:t>
      </w:r>
    </w:p>
    <w:p>
      <w:r>
        <w:t>In detail, the distribution of delivery and distribution rights according to quota was organized as follows: For the quota calculation, the affected party determined the gasoline and diesel fuel sales of all group companies and – through the parties joined as respondents 1 and 2 – the medium-sized companies in the road business and in the federal motorway business through written inquiries. From this, the base figures for the total fuel sales in the road business as well as for the total fuel sales in the federal motorway business were calculated. On this basis</w:t>
        <w:br/>
        <w:t>8</w:t>
        <w:br/>
        <w:t>See Federal Cartel Office, Activity Report 1967, BT-Drucks. V/2841, p. 38.</w:t>
      </w:r>
    </w:p>
    <w:p>
      <w:r>
        <w:rPr>
          <w:b/>
        </w:rPr>
        <w:t>[Pages 7–9]</w:t>
      </w:r>
    </w:p>
    <w:p>
      <w:r>
        <w:t>- 7 -</w:t>
        <w:br/>
        <w:t>the percentage over- and under-supplies per oil company were determined with subsequent plausibility checks based on the previous year's values. In this plausibility check, jointly conducted by the affected party and the chairman of the party joined as respondent 3, the number of service stations per supplier, the average sales per service station, and the general market changes were taken into account. In the case of implausible deviations, a consultation was held with the respective supplier or association. The subsequent volumetric calculation of the over- and under-supplies per oil company was carried out by the chairman of the party joined as respondent 3. He then held bilateral discussions with the oil companies and associations regarding the allocation or takeover of federal motorway service stations based on the over- or under-supply per oil company. The resulting proposals from the chairman of the party joined as respondent 3 to the affected party for the distribution of new supply rights were generally approved by the affected party through written confirmation to the chairman as well as to the affected oil companies or associations.</w:t>
      </w:r>
    </w:p>
    <w:p>
      <w:r>
        <w:t>In 2008, initially Esso Deutschland AG (ExxonMobil) and the party joined as respondent 5, as well as some time later the party joined as respondent 4, ended their participation in the work of the party joined as respondent 3 and definitively excluded re-entry in a joint meeting on June 16, 2009, in front of the decision division, the affected party, the parties joined, and other suppliers. The background for the exits was reportedly antitrust considerations regarding the votes and meetings related to the quota implementation. At the end of 2008, the affected party announced its intention to fundamentally renew its award criteria as of January 1, 2013. For the period between the exits and the implementation of the new award criteria, a transitional solution for the allocation of rights was found in coordination with the decision division, which does not require the participation of the party joined as respondent 3.</w:t>
      </w:r>
    </w:p>
    <w:p>
      <w:r>
        <w:t>IV. Future Conditions for the Award of Delivery and Distribution Rights</w:t>
        <w:br/>
        <w:t>The award criteria along with the associated contracts and accompanying measures are summarized below as they are intended by the affected party at the time of the decision. For further details regarding the procurement procedure relevant to the case, particularly regarding the auction model and the contracts, reference is made to the letters and emails from the affected party dated July 16, 2010, as well as December 2, 3, and 8, 2010.</w:t>
      </w:r>
    </w:p>
    <w:p>
      <w:r>
        <w:t>- 8 -</w:t>
        <w:br/>
        <w:t>1. Criteria for the Award</w:t>
        <w:br/>
        <w:t>The subject of the award is 293 of the approximately 340 federal motorway service stations over which the affected party or companies associated with it have control.9 The procurement procedure relevant to the decision at the time can be described as follows:</w:t>
        <w:br/>
        <w:t>The reallocation of the delivery and distribution rights relates exclusively to gasoline and diesel fuel (abbreviated: OK/DK) as well as "AdBlue" as loose goods from the pump, a chemical used for exhaust gas cleaning. These rights are granted exclusively to fuel companies per federal motorway service station but may be transferred in whole or in part to a third party with the consent of the affected party. Rights concerning "Liquefied Petroleum Gas" (abbreviated: LPG or autogas) and other fuels such as "Compressed Natural Gas" (abbreviated: CNG or compressed natural gas) as well as energy forms usable for cars are not the subject of this award. In this respect, it may occur that alongside a successful bidder, other companies also operate at the respective service station.</w:t>
      </w:r>
    </w:p>
    <w:p>
      <w:r>
        <w:t>The affected party intends to no longer award the distribution rights exclusively based on the quota model, intending to gradually reduce its significance. Effective January 1, 2013, the procurement procedure relevant to the case is to be applied, according to which a maximum of 65% of the distribution rights are to continue to be awarded according to the shares in the road service station business. Further shares will be awarded through an auction. Furthermore, the affected party intends to manage a portion of the federal motorway service stations through self-supply. If the quota share in the award exceeds 50%, it is the affected party's intention that, starting January 1, 2018, it shall not exceed 49% and shall be at least 40%; the share and use of other models for the period starting January 1, 2018, remain open.</w:t>
      </w:r>
    </w:p>
    <w:p>
      <w:r>
        <w:t>Another fundamental change compared to the previous award concerns the basis for the award of delivery and distribution rights. Until now, the (purely quota-based) allocation of federal motorway service stations was based on actual sales volumes of the fuel companies. This previous calculation method based on actual sales volumes is to be modified in the future. Thus, the basis for calculation is to be adjusted for so-called brand effects. For this purpose, a "base volume" is determined for each federal motorway service station, namely the average sales volume of OK/DK in the years 2007 to 2009, statistically adjusted for the average brand-specific fleet card shares. Sales with non-branded fleet cards will not be deducted. This serves, in light of the new element of the auction, to ensure comparability of the offers. Regarding the quota model, this is intended to counteract the effect that suppliers are systematically disadvantaged for sales increases through brand-specific measures. This base volume is then reduced by 5% to account for the observed decline in demand. The reduced base volume in this manner is referred to as the "consumption-adjusted base volume."</w:t>
      </w:r>
    </w:p>
    <w:p>
      <w:r>
        <w:t>Within the quota model, there is to be a change according to the affected party's intentions, in that the allocation of federal motorway service stations will no longer be carried out by the party joined as respondent 3, as was the case until 2008, but by an expert coordinated with the Federal Cartel Office. So-called non-integrated companies10 will receive a discount of 0.21 ct/l in the quota model starting in 2013 on the per-liter fee for the quantity that will then be considered as the basis for calculation (base volume). The affected party will make an offer to those fuel companies that currently hold distribution rights through the quota model to conclude new contracts according to the fee and other conditions set by the affected party. The extent to which federal motorway service stations will be awarded according to this quota model and the conditions depend on the acceptance of the new contracts by the fuel companies. If the minimum acceptance threshold of 51% is reached, the share of federal motorway service stations to be awarded according to the quota model will amount to 65%; otherwise, it will only be 35%, each based on the sum of the base volumes of the 293 federal motorway service stations.</w:t>
      </w:r>
    </w:p>
    <w:p>
      <w:r>
        <w:t>After the selection of the federal motorway service stations through the remaining quota model, the affected party will determine the locations for self-supply according to its own</w:t>
        <w:br/>
        <w:t>10 According to the market test document, p. 4, this includes fuel companies that do not have direct or indirect (through affiliated companies within the meaning of §§ 15 ff. AktG) refinery capacities in the EU, the European Economic Area (EEA), or Switzerland. Capacities of joint refineries are directly attributed to the owners or parent companies.</w:t>
      </w:r>
    </w:p>
    <w:p>
      <w:r>
        <w:rPr>
          <w:b/>
        </w:rPr>
        <w:t>[Pages 10–12]</w:t>
      </w:r>
    </w:p>
    <w:p>
      <w:r>
        <w:t>- 10 -</w:t>
        <w:br/>
        <w:t>Discretion to select. The share of self-supply shall amount to 5% (in case of minimum acceptance) or 10%, again based on the total of the base quantities of the 293 federal motorway service stations, depending on the outcome of the preceding selection process. All other delivery and distribution rights to be awarded – thus depending on the outcome of the selection process 30% or 55% – will be auctioned. This tender will be announced by the affected party throughout the EU in the Official Journal of the European Union. To gain access to the tender documents, interested parties must successfully complete a pre-qualification process. They must submit an offer to conclude an agreement that regulates the alternative obligation to sell or lease the pumps at a service station as well as to continue supplying the service station beyond December 31, 2012, for a maximum of nine months according to the provisions of the existing BAT contract (Supplementary Agreement Tender). In the context of the auction, OK/DK and AdBlue will be bundled for tender, with the lots comprising one to three federal motorway service stations. The fee consists of a fixed amount that includes the remuneration for the base quantity and a variable component for the additional sales quantities; additionally, there is the remuneration from the agency agreement with the affected party (see below Part 1, Section IV. 2.). In the auction, only the fixed amount is bid on, while the variable fee is predetermined by the affected party as a fixed fee rate per liter of OK/DK. For the fixed amount, the affected party sets a minimum bid for each lot at the beginning of the auction, which is assessed based on the base quantity and the current remuneration. To compensate for structural procurement disadvantages of non-integrated fuel companies, the affected party grants them a discount of 0.21 ct/l fuel on the consumption-adjusted base quantity even in the auction part. Special provisions apply for AdBlue. The tender is conducted in the form of an electronic auction procedure with a maximum of ten closed11 rounds, during which a bidder cannot see the bids of other bidders. After each round, the highest bid for each lot (anonymously) is communicated to each bidder. All lots are auctioned simultaneously. In the first auction round, bids exceeding 30% of the quantity-related auction volume are not permitted; in subsequent rounds, the bidder is limited to their bidding volume from the previous round. Bidder communities are permitted but must independently verify and ensure their compliance with antitrust law. The affected party reserves the right to cancel the entire tender if it leads to an uneconomic result for a significant proportion of lots. After the award has been made, a change of fuel brand during the contract term is only possible with the consent of the affected party. The tender winner must also make every effort to ensure that the acceptance of at least one of the common brand-independent fleet cards is guaranteed. The cash register systems will, unlike before at the quota service stations, no longer be provided by the fuel companies or lessees/agents, but uniformly by the affected party, which will rely on the system of a specific provider for this purpose.</w:t>
        <w:br/>
        <w:t>2. Contracts</w:t>
        <w:br/>
        <w:t>The affected party will conclude a contract with the fuel companies regarding each individual federal motorway service station concerning the specific design of the rights granted (BAT contract). The affected party will use different contract templates for the federal motorway service stations awarded through the quota model on the one hand and the stations awarded through auction on the other. Regarding the quota service stations, the affected party will revert to the previously applicable BAT contracts, which it has since adjusted in individual negotiations with the affected fuel companies. With respect to the service stations to be auctioned, the affected party will conclude a "BAT Contract OK/DK and AdBlue" with the lot winner, which entitles them to the exclusive sale of fuels and AdBlue as loose goods from the pump in their own name and for their own account either under their own brand name or a foreign fuel brand. In parallel to the BAT contracts, there are contracts for the appointment of a commercial agent (agency contract). Regarding the quota service stations, the existing contracts between the fuel company and the "lessees" remain in place. In relation to the auctioned service stations, the lot winner will initially conclude an "Agency Contract OK/DK and AdBlue" with the affected party, through which the affected party is appointed by the lot winner as a commercial agent at the relevant federal motorway service station. Shortly thereafter, this contract is to be transferred to a yet-to-be-selected lessee in a way that releases the affected party from liability, or an agency sub-contract with a lessee will be concluded by the affected party. This is to ensure that simultaneously with the conclusion of the BAT contract, there is also an agency operator in place, as the exact lessee structure will only be known from 2013. With the exception of the existing agency contracts in the quota model area, the affected party has submitted the corresponding contract templates with emails dated December 3 and 8, 2010, to the files and simultaneously forwarded them to the party joined as respondent 3 with a request for distribution to its members, as well as to ExxonMobil and the parties joined as respondents 4 and 5.</w:t>
        <w:br/>
        <w:t>3. Measures for Unbundling</w:t>
        <w:br/>
        <w:t>The affected party intends to take the measures outlined in its letter dated December 2, 2010, to prevent that the corporate areas and employees involved in self-supply may gain access to competitively sensitive information from other suppliers, given that it will manage part of its delivery and distribution rights itself in the future. In this context, it is planned that all self-supply activities will be transferred to a subsidiary under the name Autobahn Tank &amp; Rast Belieferungsgesellschaft mbH, whose management will have no personnel overlaps with the management of other companies of the affected party. The affected party will contractually remove the rights to issue instructions using competitively sensitive data known to it regarding the fuel distribution business of other suppliers at federal motorway service stations. Furthermore, measures will be taken regarding both employees and information technology to ensure the separation of this data.</w:t>
        <w:br/>
        <w:t>V. Procedure</w:t>
        <w:br/>
        <w:t>The antitrust administrative procedure was initiated in mid-2010 at the request of the affected party, after there had already been a several-month phase of preliminary discussions with the decision division and partly controversial discussions of the affected party's plans in the industry.</w:t>
      </w:r>
    </w:p>
    <w:p>
      <w:r>
        <w:rPr>
          <w:b/>
        </w:rPr>
        <w:t>[Pages 13–15]</w:t>
      </w:r>
    </w:p>
    <w:p>
      <w:r>
        <w:t>- 13 -</w:t>
        <w:br/>
        <w:t>1. Preliminary Discussions</w:t>
        <w:br/>
        <w:t>The affected party first informed the decision division on December 17, 2008, that it intended to change its rules for the allocation of its delivery rights for federal motorways and, in particular, to consider options outside the previous quota regime. This was followed by discussions between it and representatives of fuel companies or their associations regarding possible changes. On November 17, 2009, the decision division was presented by the affected party and the consulting firm it commissioned with the basic structure and functioning of the auction model, which was to be used within the framework of the new award criteria - alongside the traditional allocation according to the quota model and management through self-supply. Subsequently, the auction model was also explained to interested parties in the industry.</w:t>
      </w:r>
    </w:p>
    <w:p>
      <w:r>
        <w:t>Since informing the industry about the planned model change, the decision division has repeatedly been contacted by industry representatives regarding the antitrust implications of the model change but has consciously refrained from making antitrust assessments. Only regarding the question of the extent to which the use of the three components quota model, auction model, and self-supply appears antitrust compliant, has the decision division provided indications. Thus, in an email from the chairman dated December 21, 2009, it was communicated to respondents 1 and 2 that the decision division had no objections regarding the use of the quota model in the new award model concerning the antitrust prohibition, as long as it was an autonomous decision of the affected party and if the number of federal motorway service stations involved was significantly subordinate to the sum of self-supplied and auctioned federal motorway service stations. In response to certain figures circulating in the industry, the decision division further specified its indications regarding the shares of the three possible award components in another email from the chairman to respondents 1 and 2 dated May 11, 2010. It was assumed that market foreclosure would occur at a quota share of 90% (a size circulating in the industry), but not at a quota share of one-third alongside auction and self-supply. Furthermore, the decision division accepted in this email that market opening would not necessarily occur fully at the start of the new award model on January 1, 2013, but rather be achieved in the sense of a market opening path by the end of the first bidding period on January 1, 2018. For this, the quota model should not exceed a share of 75% at the beginning and had to be below 50% from January 1, 2018. This specification was made not least in view of the need for all market participants to initially become familiar with a complex auction model. These indications were also communicated to the affected party.</w:t>
      </w:r>
    </w:p>
    <w:p>
      <w:r>
        <w:t>2. Application of the Affected Party</w:t>
        <w:br/>
        <w:t>The affected party submitted a document regarding its planned new award model to the decision division by letter dated July 16, 2010, and requested a decision under § 32c GWB regarding its new award model. Subsequently, the affected party informed the decision division that it had commissioned two experts to review its basic quantity calculation in agreement with respondent 3. Furthermore, it notified the decision division that it had organized workshops for the members of respondent 3 as well as for ExxonMobil and respondents 4 and 5 regarding the planned cash register system. Finally, the affected party announced that it would provide the members of respondent 3 as well as ExxonMobil and respondents 4 and 5 with the opportunity to express objections, suggestions, and proposed amendments regarding the contract templates "BAT Contract OK/DK and AdBlue," "BAT Contract Quota," "Agency Contract OK/DK and AdBlue," and "Supplementary Agreement Tender" within the framework of a consultation.</w:t>
      </w:r>
    </w:p>
    <w:p>
      <w:r>
        <w:t>3. Investigations</w:t>
        <w:br/>
        <w:t>a) Market Test</w:t>
        <w:br/>
        <w:t>The decision division informed the involved economic circles about the planned model change with its letter published on the website of the Federal Cartel Office on July 30, 2010, in accordance with § 56 Abs. 2 GWB, using the document prepared by the affected party, and provided an opportunity for comments until September 15, 2010. The publication was later also made in English. The comment period was extended until October 8, 2010, upon appropriate request. Comments were submitted by the Federal Ministry of Transport, Building and Urban Development, by respondent 3, by respondents 4 and 5, and by eight other domestic and foreign oil companies, respondents 1 and 2, as well as another association of the mineral oil industry, an association of truck stops, a fuel and service card provider, and two automobile associations. To the extent that these comments included criticism of the planned award criteria of the affected party, this criticism is summarized below.</w:t>
      </w:r>
    </w:p>
    <w:p>
      <w:r>
        <w:t>(1) Regarding the general rules of the new award criteria, the comments contain the following points of criticism:</w:t>
        <w:br/>
        <w:t>In particular, medium-sized fuel companies express concerns about the calculation of the basic quantity, which is central to price formation within the framework of the award criteria.14 It must come close to the real value and be calculated by independent experts. The affected party's consideration of an early transition to the basic quantity in 2011/2012 requires the consent of market participants and the Federal Cartel Office. The method of calculating the basic quantity leads to a disadvantage for companies with subordinate fuel cards and without brand partner contracts with one of these companies due to the sales advantage of large oil companies through their fuel card systems.</w:t>
      </w:r>
    </w:p>
    <w:p>
      <w:r>
        <w:t>Additionally, problems are pointed out regarding the separate tendering of LPG and CNG in relation to the Product Liability Act15 and the use of fuel cards.16</w:t>
      </w:r>
    </w:p>
    <w:p>
      <w:r>
        <w:t>(2) The quota model, which continues to apply within the framework of the award criteria, is commented on differently by the participants in the market test:</w:t>
        <w:br/>
        <w:t>Partially, the quota model is attributed market-foreclosing and structure-cementing effects17 and it is demanded that the medium-sized sector must be protected in other ways. Market foreclosure is not only seen in the exact transfer of shares in the road business to the business with</w:t>
        <w:br/>
        <w:t>14</w:t>
        <w:br/>
        <w:t>See comments BFT p. 2 f., AVIA p. 2, but also Tamoil p. 2 and Orlen p. 2.</w:t>
        <w:br/>
        <w:t>15</w:t>
        <w:br/>
        <w:t>Product Liability Act of December 15, 1989 (BGBl. I 2198), last amended by Article 9 Abs. 3 of the Act of July 19, 2002 (BGBl. I 2674) – Product Liability Act (ProdHaftG).</w:t>
        <w:br/>
        <w:t>16</w:t>
        <w:br/>
        <w:t>See comment Shell p. 4.</w:t>
        <w:br/>
        <w:t>17</w:t>
        <w:br/>
        <w:t>See comments Total p. 1, ADAC p. 1.</w:t>
      </w:r>
    </w:p>
    <w:p>
      <w:r>
        <w:rPr>
          <w:b/>
        </w:rPr>
        <w:t>[Pages 16–18]</w:t>
      </w:r>
    </w:p>
    <w:p>
      <w:r>
        <w:t>- 16 -</w:t>
        <w:br/>
        <w:t>not only in the context of federal motorway service stations but also in the transfer of the sales advantage associated with fuel cards of large oil companies.18 Partially, the quota model is credited with limiting the dominance of large oil companies at least to the level of the road service station business; market entries by pure newcomers are considered to be only conditionally promising.19 The share of the auction model compared to the quota model could therefore be lower in order to still ensure the intended market opening.20</w:t>
      </w:r>
    </w:p>
    <w:p>
      <w:r>
        <w:t>While a medium-sized business association demands an annual adjustment of the quota, an oil company counters that, considering the short duration of five years for the upcoming reallocation, the two-year cycles provided for in the procurement criteria are appropriate.21 One company finally points out that the share of the quota model should fully utilize the antitrust-acceptable framework because market participants need to gain experience with the auction component of the new procurement criteria.22</w:t>
      </w:r>
    </w:p>
    <w:p>
      <w:r>
        <w:t>(3) The auction model, which is part of the new procurement criteria, is subject to the following criticism from the participants in the market test: An oil company23 opposes the overall tendering of the delivery rights and raises the question of whether a dominant company like the affected party is even allowed to tender its delivery rights. There is a risk of isolation because the awarded federal motorway service stations will not be available to inferior bidders for several years. In any case, the resulting fees do not represent a competitive price and would be subject to antitrust price abuse supervision.18</w:t>
      </w:r>
    </w:p>
    <w:p>
      <w:r>
        <w:t>The medium-sized oil sector states that medium-sized fuel companies lack the capital strength to successfully bid in an auction. They would therefore lose shares in the motorway business in the future.24</w:t>
      </w:r>
    </w:p>
    <w:p>
      <w:r>
        <w:t>Insofar as the affected party reserves the right not to accept the auction result in the event of what it considers an "uneconomic result," this is met with broad rejection as arbitrary, non-binding, and price-increasing.25 Overall, the auction model is attributed a price-increasing effect, referring to experiences with the auctioning of delivery rights abroad.26 According to a foreign oil company, bidders without a strong fuel card face a market entry barrier because bidders with a strong sales fuel card could calculate more aggressively.27</w:t>
      </w:r>
    </w:p>
    <w:p>
      <w:r>
        <w:t>A brand-independent fuel card company expects disadvantages from the obligation granted by the tender criteria that the tender winner (only) accepts a single brand-independent card. This is particularly true against the background that a large oil company holds a stake in a brand-independent fuel card company. Instead, the tender winner should be required to accept a certain customer share from independent card providers (e.g., 66-75%).28</w:t>
      </w:r>
    </w:p>
    <w:p>
      <w:r>
        <w:t>Concerns are raised from various quarters against the uniform cash register system sought by the affected party, for example, that it leads to the standardization of a cost block at a higher level.29 Market participants for whom agency contracts are of great importance see the stipulation that a change of fuel brand is only possible with the consent of the affected party as a hindrance.30 A company planning an internal brand change points out in this context that such a case should not be covered.31 The possibility opened up by the procurement criteria to transfer auctioned delivery rights is welcomed, however.32</w:t>
      </w:r>
    </w:p>
    <w:p>
      <w:r>
        <w:t>A corporate group has submitted a statement along with the report of a consulting company, which claims deficiencies in the auction mechanism.33 On the one hand, the report assumes that the strategic behavior of bidders changes in the last round, which could lead to high demands on the strategic skill of the bidders. Specific changes are proposed in this regard. On the other hand, the information transfer during the ongoing auction is assessed as very restrictive. The report names conceivable information that should be shared after the conclusion of the individual bidding rounds.</w:t>
      </w:r>
    </w:p>
    <w:p>
      <w:r>
        <w:t>(4) Specifically regarding the planned discount for non-integrated companies within the framework of the auction model, different positions are taken in the statements: While a medium-sized business association considers the discount for non-integrated companies necessary for compensating the disadvantages of medium-sized applicants,34 this discount is deemed unnecessary from the perspective of large oil companies and also from the perspective of another medium-sized grouping. The oil companies argue that the retail sector of a vertically integrated company is billed at market prices from the supply sector just like medium-sized buyers and that due to the fluid transition, a clear demarcation is not possible at all.35 Integrated fuel companies would also have to purchase fuel at certain locations.36</w:t>
      </w:r>
    </w:p>
    <w:p>
      <w:r>
        <w:rPr>
          <w:b/>
        </w:rPr>
        <w:t>[Pages 19–21]</w:t>
      </w:r>
    </w:p>
    <w:p>
      <w:r>
        <w:t>- 19 -</w:t>
        <w:br/>
        <w:t>At the very least, the discount should not lead to discrimination against vertically integrated companies.37 In contrast, a foreign oil company argues that its refinery located abroad already leads to classification as a vertically integrated company, and that focusing, for example, on the lack of nationwide network planning would allow for a more appropriate distinction.38 Moreover, a disadvantage compensation is not necessary because, as experience shows, non-integrated companies would typically enter into an agency agreement with a vertically integrated company after the award of the contract.39</w:t>
      </w:r>
    </w:p>
    <w:p>
      <w:r>
        <w:t>(5) Insofar as self-supply of federal highway service stations is planned in the future, concerns are raised in the statements primarily in two respects: Firstly, it is already considered legally questionable that the affected party is now appearing for the first time in the downstream market "as a competitor," as this would further contribute to its monopoly position in the allocation of delivery rights by directly participating in the downstream business. The affected party acts as an unequal competitor to established fuel suppliers and engages in "cherry-picking" when selecting the self-supplied stations.40 A distortion of competition is specifically seen in the fact that the affected party can include not only fuel sales in its calculations but also the shop and gastronomy business, and because it does not have to generate a fixed income or pay any fees at the self-supplied federal highway service stations.41 It is suggested that the affected party should participate in its own auction.42</w:t>
      </w:r>
    </w:p>
    <w:p>
      <w:r>
        <w:t>37</w:t>
        <w:br/>
        <w:t xml:space="preserve">See statement BP p. 13. </w:t>
        <w:br/>
        <w:t>38</w:t>
        <w:br/>
        <w:t xml:space="preserve">See statement Orlen p. 5. </w:t>
        <w:br/>
        <w:t>39</w:t>
        <w:br/>
        <w:t xml:space="preserve">See statements eni p. 3, AVIA p. 2. </w:t>
        <w:br/>
        <w:t>40</w:t>
        <w:br/>
        <w:t xml:space="preserve">See statements Jet p. 3, BFT p. 2, Shell p. 1. </w:t>
        <w:br/>
        <w:t>41</w:t>
        <w:br/>
        <w:t xml:space="preserve">See statements eni p. 2, Shell p. 2. </w:t>
        <w:br/>
        <w:t>42</w:t>
        <w:br/>
        <w:t>See statement eni p. 2.</w:t>
      </w:r>
    </w:p>
    <w:p>
      <w:r>
        <w:t>- 20 -</w:t>
        <w:br/>
        <w:t>Secondly, many see a conflict in that the affected party, in its role as a contractual partner regarding the delivery rights, receives numerous confidential data about the fuel companies, which it should not receive in its future role as a fuel company for competitive reasons.43</w:t>
      </w:r>
    </w:p>
    <w:p>
      <w:r>
        <w:t>(6) Furthermore, a number of statements – whether fundamentally or concerning individual aspects – oppose the selection procedure preceding the actual award, in which the affected party wants to enforce its model change against those fuel companies that currently hold distribution rights under the quota model.44</w:t>
      </w:r>
    </w:p>
    <w:p>
      <w:r>
        <w:t>(7) The Federal Ministry of Transport, Building and Urban Development refers to the framework agreement between the Federal Republic of Germany and the affected party, which is still in effect at least until October 29, 2013, according to which the granting of distribution rights to fuel companies must be ensured and the distribution is based on the shares in the road business.45</w:t>
      </w:r>
    </w:p>
    <w:p>
      <w:r>
        <w:t>b) Expert</w:t>
        <w:br/>
        <w:t>The decision division has obtained evidence through expert reports regarding whether the rules of the auction planned by the affected party suggest that the bidder pool or the circle of auction winners is inappropriately limited from the outset, that individual bidders have the opportunity to hinder other bidders through individual strategic behavior, or that there is a risk of explicit or implicit collusive behavior among the bidders. Furthermore, it has obtained evidence regarding the complexity level, particularly concerning the manageability for small and medium-sized fuel companies, that the auction planned by the affected party achieves compared to other auctions and how the auction design is to be assessed otherwise. For this purpose, based on § 57 Abs. 2 Sentence 1 GWB, a decision was made on August 25, 2010, in agreement with the affected party, to appoint an expert and to request an assessment by September 30, 2010. In his report dated September 26, 2010, the expert commented on the evidence questions as follows:</w:t>
      </w:r>
    </w:p>
    <w:p>
      <w:r>
        <w:t>43</w:t>
        <w:br/>
        <w:t xml:space="preserve">See statements BAT p. 3 f., BFT p. 3, Shell p. 2 and 5, BP p. 4, 8, eni p. 2. </w:t>
        <w:br/>
        <w:t>44</w:t>
        <w:br/>
        <w:t xml:space="preserve">See statements AK BAT p. 3 f; UNITI p. 2; BP p. 2, 7; Exxon p. 3; Jet p. 4; OMV p. 2. </w:t>
        <w:br/>
        <w:t>45</w:t>
        <w:br/>
        <w:t>See statement BMVBS, p. 2.</w:t>
      </w:r>
    </w:p>
    <w:p>
      <w:r>
        <w:t>- 21 -</w:t>
        <w:br/>
        <w:t>The expert does not identify any recognizable serious deficiencies in the auction design. He identifies as particularities, on the one hand, the "frugal" information policy, especially because the identity of the highest bidders is not disclosed to the auction participants. On the other hand, he highlights the limitation to ten auction rounds. The latter point is considered critical by the expert, and he justifies this in detail in his report. Overall, the expert finds the auction design understandable if priority is given to preventing collusion and ensuring a swift process. Regarding the evidence questions in detail, the expert also does not identify any deficiencies.</w:t>
      </w:r>
    </w:p>
    <w:p>
      <w:r>
        <w:t>4. Joinder</w:t>
        <w:br/>
        <w:t>By letters dated October 26, 2010, November 2, 2010, and November 12, 2010, the Federal Association of Independent Service Stations and Independent German Mineral Oil Dealers e. V., the UNITI - Federal Association of Medium-Sized Mineral Oil Companies e. V., and the Working Group BAT of the suppliers of federal highway service stations requested to be joined to the proceedings. The affected party was given the opportunity to comment on the joinder requests from BFT and UNITI. In a letter dated November 11, 2010, the affected party did not generally oppose the joinder of the two associations. The decision division also refrained from obtaining a statement from the affected party regarding the joinder request of the Working Group BAT for procedural economic reasons; this was not contested by the affected party thereafter. By decision dated November 26, 2010, the decision division joined all applicants to the proceedings in accordance with § 54 Abs. 2 No. 3 GWB.</w:t>
      </w:r>
    </w:p>
    <w:p>
      <w:r>
        <w:t>By letters dated December 21, 2010, TOTAL Deutschland GmbH and Shell Deutschland Oil GmbH requested to be joined to the proceedings. In response to the opportunity for comments provided by the decision division to all previous participants in the proceedings, the affected party and the joined party 1 stated that there were no objections. By decision dated December 22, 2010, the joinder requests were granted.</w:t>
      </w:r>
    </w:p>
    <w:p>
      <w:r>
        <w:t>By letters dated January 10, 2011, DKV EURO SERVICE GmbH + Co. KG and BP Europa SE requested to be joined to the proceedings. In response to the opportunity for comments provided by the decision division to all participants involved in the proceedings up to that point, the joined parties 1 and 3 to 5 stated,</w:t>
      </w:r>
    </w:p>
    <w:p>
      <w:r>
        <w:rPr>
          <w:b/>
        </w:rPr>
        <w:t>[Pages 22–24]</w:t>
      </w:r>
    </w:p>
    <w:p>
      <w:r>
        <w:t>- 22 -</w:t>
        <w:br/>
        <w:t>that there are no objections to the inclusion of both companies. By decision dated January 12, 2011, the decision division decided as requested.</w:t>
      </w:r>
    </w:p>
    <w:p>
      <w:r>
        <w:t>5. Right to be Heard</w:t>
        <w:br/>
        <w:t>By letters dated November 5 and 15, 2010, the decision division granted the affected party access to the statements and the expert report in accordance with § 29 Abs. 1 of the Federal Administrative Procedure Act46 upon its request dated October 11, 2010, and at the same time provided the opportunity to clarify its planned procurement model as soon as possible, referring to certain points. By letter dated December 3, 2010, the decision division further informed the affected party that the evaluation of the expert report as well as the report submitted in the context of the market test had raised questions and provided the opportunity for a response.</w:t>
      </w:r>
    </w:p>
    <w:p>
      <w:r>
        <w:t>On December 8, 2010, the affected party submitted further clarifications of its procurement model in writing to the decision division, in addition to the already sent templates for BAT and agency contracts. The changes have already been taken into account in the above description of the new procurement rules (see above Part 1, Section IV. 1. and 2.) and were particularly based on suggestions from the market test and further interim bilateral negotiations of the affected party with market participants. A detailed list of the clarifications is included in the annex to the letter from the affected party dated December 8, 2010. In the same letter, the affected party also extensively addressed the statements submitted in the context of the market test as well as the questions that arose during the evaluation of the reports regarding the auction model. Regarding the auction model, the affected party initially rejected the general criticism of the tender model as such and then addressed important detailed criticisms.47 It sees no information deficits, does not consider disclosure of the bidding history necessary or appropriate, does not recognize unnecessary complexity, disputes price-increasing effects from the minimum bid, and further explains the cancellation of the auction in the event of an uneconomic result. Furthermore, the affected party justifies the inclusion of self-supply.48</w:t>
      </w:r>
    </w:p>
    <w:p>
      <w:r>
        <w:t>46</w:t>
        <w:br/>
        <w:t>Administrative Procedure Act as published on January 23, 2003 (BGBl. I p. 102), last amended by Art. 2 Abs. 1 of the Act of August 14, 2009 (BGBl. I p. 2827) - Administrative Procedure Act (VwVfG).</w:t>
      </w:r>
    </w:p>
    <w:p>
      <w:r>
        <w:t>47</w:t>
        <w:br/>
        <w:t>Statement Tank &amp; Rast, p. 2 et seq.</w:t>
      </w:r>
    </w:p>
    <w:p>
      <w:r>
        <w:t>48</w:t>
        <w:br/>
        <w:t>Statement Tank &amp; Rast, p. 10 et seq.</w:t>
      </w:r>
    </w:p>
    <w:p>
      <w:r>
        <w:t>- 23 -</w:t>
        <w:br/>
        <w:t>It elaborates its arguments in detail as to why the mineral oil industry is not disadvantaged by the procurement criteria.49 Other points on which the affected party comments include the calculation of the base quantity, discounts for non-integrated fuel companies, selection process for determining the amount of the quota share, allocation of locations, service station management systems, fee model, and framework contract.50 For details, reference is made to the corresponding letter from the affected party along with the annex.</w:t>
      </w:r>
    </w:p>
    <w:p>
      <w:r>
        <w:t>By letter dated December 9, 2010, the decision division forwarded the affected party's statement dated December 8, 2010, to the other parties involved in the proceedings at that time and granted a deadline until January 10, 2010, for any responses.</w:t>
      </w:r>
    </w:p>
    <w:p>
      <w:r>
        <w:t>In the meeting on December 16, 2010, at the Federal Cartel Office, the affected party stated that it would remove the possibility of maximum price binding contained in Section 1.3 of the agency contract template regarding the supply of lubricants and explained in detail the purposes pursued with the award concerning brand-independent fuel cards in accordance with Section 3.2.2 of the market test document as well as the circumstances regarding the use of such cards at federal motorway service stations.</w:t>
      </w:r>
    </w:p>
    <w:p>
      <w:r>
        <w:t>On December 20, 2010, the decision division sent a draft of its planned decision to the parties involved in the proceedings up to that point for the purpose of the right to be heard in accordance with § 56 Abs. 1 GWB. The addressees commented on this within the deadline set until January 10, 2011. The decision division also forwarded the draft decision to those who participated in the cartel administrative procedure with a statement for their information and possible feedback within the specified deadline. Responses were received from the later parties joined as 4 to 7 as well as from four other addressees. The party joined as 4 also expressed a call for prohibition beyond its statement.</w:t>
      </w:r>
    </w:p>
    <w:p>
      <w:r>
        <w:t>After becoming aware of this, the affected party responded on January 12, 2011, in a meeting with the Federal Cartel Office to the most important points of criticism from its perspective and stated that it would make three changes. First, the auditor to be appointed for monitoring the unbundling on the part of the affected party will be required to report to the decision division on compliance with the provisions.49</w:t>
      </w:r>
    </w:p>
    <w:p>
      <w:r>
        <w:t>Second, the deadline for obtaining the affected party's consent to a brand change will be shortened from twelve to six months, and the possibility of rejection due to antitrust authority reservations will be waived. Third, the adjustment rhythm within the framework of the quota share will be changed to annual adjustment.</w:t>
      </w:r>
    </w:p>
    <w:p>
      <w:r>
        <w:t>By letter dated January 14, 2011, the affected party documented its commitments made to the decision division.</w:t>
      </w:r>
    </w:p>
    <w:p>
      <w:r>
        <w:t>All parties joined have also been granted access to the statements as well as other relevant documents in response to their requests for access associated with the application for inclusion.</w:t>
      </w:r>
    </w:p>
    <w:p>
      <w:r>
        <w:t>6. Involvement of the State Cartel Authority</w:t>
        <w:br/>
        <w:t>The state cartel authority in Düsseldorf, to be informed in accordance with § 49 Abs. 1 GWB, was also given the opportunity to comment on December 20, 2010.</w:t>
      </w:r>
    </w:p>
    <w:p>
      <w:r>
        <w:t>7. Decision</w:t>
        <w:br/>
        <w:t>On January 14, 2010, the decision division decided as evident from the tenor.</w:t>
      </w:r>
    </w:p>
    <w:p>
      <w:r>
        <w:t>Part 2.</w:t>
        <w:br/>
        <w:t>Legal Assessment</w:t>
        <w:br/>
        <w:t>The requested decision could be issued because the substantive requirements of § 32c GWB are met (see below under A.). The subject of the underlying assessment is only whether the procedure under review gives rise to cartel authority action under the cartel and abuse prohibitions. Since the cartel authorities have discretion in pursuing violations of the prohibitions listed in § 32c GWB, which is also exercised comprehensively in practice and taking into account the private legal protection options opened by § 33 GWB, the decision division is not obliged to conduct a detailed examination of each clause of the procurement criteria, including the associated contract templates51 for their compatibility with antitrust law. Rather, the decision division focuses in the following - not otherwise</w:t>
      </w:r>
    </w:p>
    <w:p>
      <w:r>
        <w:t>51</w:t>
        <w:br/>
        <w:t>The decision does not contain statements regarding the civil law effectiveness of individual clauses or the entire contract.</w:t>
      </w:r>
    </w:p>
    <w:p>
      <w:r>
        <w:rPr>
          <w:b/>
        </w:rPr>
        <w:t>[Pages 25–27]</w:t>
      </w:r>
    </w:p>
    <w:p>
      <w:r>
        <w:t>- 25 -</w:t>
        <w:br/>
        <w:t>as it would in official proceedings – on the identification of antitrust violations that reach a quality that would make intervention by the antitrust authority appear discretionary. This includes that, in the interest of legal certainty and clarity, the essential cornerstones of the planned procurement rules are thoroughly examined for their antitrust permissibility, while, on the other hand, a public interest in a more in-depth examination can be denied.</w:t>
      </w:r>
    </w:p>
    <w:p>
      <w:r>
        <w:t>A decision in the defined scope according to § 32c GWB, which is also a discretionary provision, corresponds to the proper exercise of discretion by the decision division (see below under Part 2, Section B.).</w:t>
      </w:r>
    </w:p>
    <w:p>
      <w:r>
        <w:t>Insofar as the framework agreement concluded between the participant and the Federal Republic of Germany contains a requirement for coordination with the competent antitrust authorities, the participant has fulfilled this from the perspective of the decision division with this procedure.</w:t>
      </w:r>
    </w:p>
    <w:p>
      <w:r>
        <w:t>The concession award to the affected party, as raised by the parties joined as respondents 1, 3, and 4, including the associated long durations, is not relevant for the present decision.</w:t>
      </w:r>
    </w:p>
    <w:p>
      <w:r>
        <w:t>A. Award Criteria</w:t>
        <w:br/>
        <w:t>The planned procurement rules of the affected party do not give the decision division – subject to a change in circumstances – any reason to take action from an antitrust perspective. For in this respect, the planned procurement rules of the affected party do not violate German or European antitrust law according to the findings available to the decision division (see below under Part 2, Sections A. I. to III.). European antitrust law is applicable because the planned award criteria are capable of significantly affecting interstate trade. This can be inferred, on the one hand, from the EU-wide tendering by the affected party and, on the other hand, from the participation of foreign oil companies in the past.</w:t>
      </w:r>
    </w:p>
    <w:p>
      <w:r>
        <w:t>I. Prohibition of Abuse</w:t>
        <w:br/>
        <w:t>The conditions for the prohibitions of abuse under §§ 19, 20 GWB or Art. 102 TFEU are not fulfilled in a manner that would give rise to intervention by the antitrust authority according to the findings available to the decision division.</w:t>
      </w:r>
    </w:p>
    <w:p>
      <w:r>
        <w:t>1. Norm Subject Status</w:t>
        <w:br/>
        <w:t>From the perspective of the decision division, the affected party is a dominant company and is therefore subject to the abuse provisions. The dominant position exists in the – currently at the center of assessment – nationwide market for the award of delivery and distribution rights for federal motorway service stations, where the affected party operates as a supplier. The dominant position of the affected party in offering delivery and distribution rights for federal motorway service stations exists in terms of the nationwide scope and the economic weight of this market, simultaneously affecting a significant part of the Common Market in the sense of Art. 102 TFEU.</w:t>
      </w:r>
    </w:p>
    <w:p>
      <w:r>
        <w:t>The affected party contests the classification as dominant in the award of delivery and distribution rights for federal motorway service stations by pointing to the increasing possibility of fuel sales through service areas that are located in close proximity and are signposted on the highways. Furthermore, it is argued against the continued existence of the dominant position that motorists today are no longer dependent on the motorway service stations due to modern navigation tools. Ultimately, all of this can be left open, as there is already a lack of discrimination or hindrance in the sense of the abuse provisions (see below Part 2, Section B. I. 2.).</w:t>
      </w:r>
    </w:p>
    <w:p>
      <w:r>
        <w:t>2. Discrimination/Hindrance</w:t>
        <w:br/>
        <w:t>The submitted model does not reveal any discrimination or hindrance of fuel companies that would necessitate intervention under antitrust law.</w:t>
      </w:r>
    </w:p>
    <w:p>
      <w:r>
        <w:t>a) General Modalities of the New Award Model</w:t>
        <w:br/>
        <w:t>This initially applies to the general modalities of the new award model and the criticism raised in this regard.</w:t>
      </w:r>
    </w:p>
    <w:p>
      <w:r>
        <w:t>(1) The affected party does not commit any discrimination or hindrance if it awards the delivery and distribution rights for autogas and other fuels and energy forms separately as intended. It may be true that the sale of fuels from different suppliers at a station is associated with practical difficulties. However, it has not been asserted that these are insurmountable and therefore necessitate a joint award. Moreover, in the past, complaints have been raised with the decision division and the affected party from the autogas sector regarding obstacles to access to federal motorway service stations as a sales route, which were said to have originated from some integrated fuel companies. A joint award of the rights for autogas and conventional fuels would have created new hurdles for the autogas sector, as they could hardly establish a supply of gasoline/diesel fuel. Thus, the affected party's approach simultaneously prevents discrimination or hindrance of this supplier group, without the business with autogas and other products already being lost for the established fuel suppliers at the motorway.</w:t>
      </w:r>
    </w:p>
    <w:p>
      <w:r>
        <w:t>(2) Also regarding the determination of the base quantity, no discrimination or hindrance of individual bidders is recognizable. The decision division does not see any distortion in favor of bidders with strong fuel card sales concerning their use in the auction part, as the definition of the base quantity according to 2.1. of the document Market Test specifically provides for a correction of these effects. If at all, the</w:t>
      </w:r>
    </w:p>
    <w:p>
      <w:r>
        <w:rPr>
          <w:b/>
        </w:rPr>
        <w:t>[Pages 28–30]</w:t>
      </w:r>
    </w:p>
    <w:p>
      <w:r>
        <w:t>- 28 -</w:t>
        <w:br/>
        <w:t>The calculation method of the base quantity represents a different treatment to the detriment of those fuel companies that have high fuel card sales. However, this does not occur without a substantive reason, as measured against the objective aimed at promoting competition under the GWB, the affected party is not prohibited from excluding these sales. The calculation method indeed provides incentives for brand-independent delivery and distribution regarding the auctioned stations and does not compel independent fuel companies to the same extent as when actual quantities are used to resort to brand partner contracts, including high-volume fuel cards. The calculation method may – as highlighted by a market test participant – provide an advantage in bid calculation for some bidders due to their high fleet card sales.58 However, this advantage arises from the existing structure of the fuel markets and is not a result of the auction process or the dominant market position of the affected party.</w:t>
      </w:r>
    </w:p>
    <w:p>
      <w:r>
        <w:t>Similarly, the consideration of the party joined as respondent 4 may be correct that the previous supplier of a station has advantages in calculating the bid due to its knowledge of card sales volumes.59 This advantage is also unavoidable, as the affected party would have to disclose the relevant figures (if they are even known to it) in violation of confidentiality, and ultimately benefits almost all bidders at some point. Finally, it should not be overlooked that focusing on – station-specific – sales-adjusted fuel quantities means an easing of calculation for all bidders, as it reduces the information deficits of the bidders regarding the true value of the delivery and distribution rights.</w:t>
      </w:r>
    </w:p>
    <w:p>
      <w:r>
        <w:t>With regard to the rights allocated based on the quota model, there is a lack of discrimination for another reason. Here, the affected party aims to remedy a previously identified unequal treatment of suppliers who engage in brand-specific sales promotion and those who do not, by focusing on base quantities. To the extent that a market test participant perceives discrimination in this approach, this is therefore incorrect. It may represent a deterioration of the allocation quota for this oil company compared to the old award criteria. However, there is no entitlement to protection of existing rights as long as the amended regulation does not, in itself, reveal a violation of the prohibition of discrimination.</w:t>
      </w:r>
    </w:p>
    <w:p>
      <w:r>
        <w:t>(3) The fundamental regulation, according to which a discount is granted to non-integrated fuel companies both within the framework of the quota model and the auction model, does not initially constitute discrimination within the meaning of §§ 19, 20 GWB. Although this creates two groups of fuel suppliers that are treated differently, this does not occur without a substantive reason. The affected party aims to compensate for structural disadvantages faced by small and medium-sized fuel companies, which, in contrast to their vertically integrated competitors, have purchasing disadvantages and, on the other hand, face comparatively high effort and lower chances specifically in the auction model. It cannot be countered that vertically integrated companies also settle their distribution at market prices. For the margin then only arises at another level within the group, namely at the refinery level. Ultimately, the objection that small and medium-sized companies have often relied on brand partner contracts with vertically integrated companies in the past and thus could compensate for their disadvantages is also not valid, which is vehemently opposed by others.60 Although the comparatively small share of medium-sized brands on the motorway indicates a high proportion of brand partner relationships (only 23 stations recently showed a free brand), it should be noted that the discount newly introduced by the affected party will at least provide medium-sized companies with more freedom for fuel distribution in the future without resorting to brand partner contracts with vertically integrated companies. Whether they will actually utilize it is a separate question.</w:t>
      </w:r>
    </w:p>
    <w:p>
      <w:r>
        <w:t>However, even with the exclusion of companies that are vertically integrated abroad but not in Germany, the affected party does not cross the line into discrimination. Although these companies do not have refinery capacities in Germany for direct supply to their federal motorway service stations, they can achieve this through exchange contracts with vertically integrated companies in Germany. Therefore, a different treatment of this group of companies is not objectionable.</w:t>
      </w:r>
    </w:p>
    <w:p>
      <w:r>
        <w:t>60</w:t>
        <w:br/>
        <w:t>See Statement AFM+E II.</w:t>
      </w:r>
    </w:p>
    <w:p>
      <w:r>
        <w:t>- 30 -</w:t>
        <w:br/>
        <w:t>Insofar as the discount rate of 0.21 ct/l is criticized by the party joined as respondent 1, based on a brief assessment, as being too low to compensate for the disadvantages faced by small and medium-sized enterprises,61 the decision division does not share these concerns. On the one hand, the affected party addresses the disadvantages of small and medium-sized suppliers through a whole package of measures, whereas the brief assessment aims to represent all disadvantages through the discount rate. On the other hand, the brief assessment is based on assumptions, particularly regarding the profit expectations of a supplier, which can vary individually.</w:t>
      </w:r>
    </w:p>
    <w:p>
      <w:r>
        <w:t>The different treatment of vertically integrated oil companies and non-integrated fuel companies as a result of the discount therefore appears to be substantively justified in light of the objectives of §§ 19, 20 GWB.</w:t>
      </w:r>
    </w:p>
    <w:p>
      <w:r>
        <w:t>b) Design of the Quota Model</w:t>
        <w:br/>
        <w:t>The internal design of the quota part of the award criteria also does not give rise to antitrust authority measures, with the following only addressing the selection process criticized by many participants in the market test and the rhythm of quota adjustment.</w:t>
      </w:r>
    </w:p>
    <w:p>
      <w:r>
        <w:t>(1) In sections 2.3.3. and 2.3.4. of the market test document, the process is described by which the affected party intends to determine the scope of the quota model and the conditions of the contracts awarded under the quota model through the criterion of minimum acceptance. Although a number of statements in the context of the market test and the legal hearing are directed against this selection process, this ultimately does not matter.</w:t>
      </w:r>
    </w:p>
    <w:p>
      <w:r>
        <w:t xml:space="preserve">From an antitrust perspective, only the respective scope that the quota model is to take compared to the auction model and self-supply depending on the outcome of the selection process is relevant. In the case of the predominant acceptance of the affected party's offer, the scope is to be 65% (Case A), otherwise 35% (Case B). In both cases, however, as will be explained in more detail below (see Part 2, Section A. II. 2. a) (2)), there is no concern of market foreclosure. However, if the respective outcome of the selection process... </w:t>
        <w:br/>
        <w:t>61</w:t>
        <w:br/>
        <w:t>See Annex to Statement BFT II.</w:t>
      </w:r>
    </w:p>
    <w:p>
      <w:r>
        <w:rPr>
          <w:b/>
        </w:rPr>
        <w:t>[Pages 31–33]</w:t>
      </w:r>
    </w:p>
    <w:p>
      <w:r>
        <w:t>- 31 -</w:t>
        <w:br/>
        <w:t>if it does not raise any antitrust issues, an assessment of the path to that outcome – contrary to the opinion of the parties joined as respondents 3 and 762 – can be left open. To the extent that the parties joined as respondents 1 and 2 had considered in the meantime issuing the required declaration of acceptance of the offer uniformly for their members to the affected party, the decision division pointed out that this could violate the antitrust prohibition. Their currently participating members in the quota model are independent companies that are contractual partners of the affected party and must autonomously make the decision regarding any acceptance of the affected party's offer for the conclusion of the contract. A central assumption of the declaration by an association could also significantly undermine the mechanism underlying this selection process, whereby each fuel company cannot be certain how the other fuel companies will behave when making their declaration. The party joined as respondent 1 cannot argue that it has already acted centrally for its members in the past regarding the allocation of stations within the framework of the quota model.63 Because that – also planned for the future representation of the members (see below Part 2, A. II. 2. b)) – differs from the situation currently under discussion regarding a tender for contracts and conditions.</w:t>
      </w:r>
    </w:p>
    <w:p>
      <w:r>
        <w:t>Unrelated to this is the question of how supply communities of fuel companies, which jointly hold the distribution rights for one or more federal motorways, make their decisions. To the extent that the supply community remains within the antitrust permissible dimension, there is nothing to object to regarding the uniform declaration concerning the affected party's offer related to the jointly managed federal motorway service station(s).</w:t>
      </w:r>
    </w:p>
    <w:p>
      <w:r>
        <w:t>(2) The party joined as respondent 4 opposes the approach planned by the affected party for the quota share, which requires existing suppliers to waive certain rights in order to reallocate them as discussed above under (1), and sees this as an abusive tying arrangement.64 This cannot be followed. It is undisputed that it is also possible for the affected party as a dominant company to terminate contracts with suppliers regarding stations and to conclude new ones under different conditions, as long as it observes a reasonable notice period and the new conditions are antitrust neutral. In this case, the affected party falls short of this variant by not terminating all stations with existing suppliers but instead granting them an initial choice regarding the stations. It remains to be seen whether an antitrust-compliant regulation – as the party joined as respondent 4 believes – could also consist of assigning the desired rights to the existing supplier and allowing the undesirably assigned rights to be further utilized by them (which would, by the way, represent a completely different allocation system). What is decisive here is solely that the new allocation system planned by the affected party does not give rise to antitrust authority intervention.</w:t>
      </w:r>
    </w:p>
    <w:p>
      <w:r>
        <w:t>(3) Regarding the annual adjustment of quotas demanded by the parties joined as respondents 1 and 2 within the framework of the market test and the right to be heard65, antitrust law does not compel the affected party to change its award criteria in this regard. Section 2.3.2. of the market test document provides for an adjustment in a two-year rhythm, which, considering the associated effort for the five-year manageable duration of the award model, does not appear to be unreasonable or arbitrary. Conversely, a quota adjustment at shorter intervals would also not be objectionable under antitrust law, as rightly pointed out by the parties joined as respondents 2 and 3.66 In response, the affected party stated that it would change the rhythm to annually.</w:t>
      </w:r>
    </w:p>
    <w:p>
      <w:r>
        <w:t>c) Design of the Auction Model</w:t>
        <w:br/>
        <w:t>Both regarding the choice of an auction as an award instrument and regarding the design of the auction model, there is no concern about discrimination or hindrance of individual bidders in the framework relevant for this decision.</w:t>
      </w:r>
    </w:p>
    <w:p>
      <w:r>
        <w:t>(1) The affected party initially proceeds correctly when it chooses the auction as one component of its future award criteria. From an antitrust perspective, the auction is an appropriate means for the dominant rights provider to allocate its limited offer without discrimination. Even an auction of significantly scarcer rights for a significantly longer period than in the present case has not been fundamentally criticized by the highest courts.67 To the extent that an oil company has already expressed doubts about the choice of the tender as an award instrument within the framework of the market test and justified this with the dominant position of the affected party, this is therefore far-fetched.</w:t>
      </w:r>
    </w:p>
    <w:p>
      <w:r>
        <w:t>However, the concern expressed by the oil industry that medium-sized fuel companies lack the capital to successfully bid in an auction can be addressed. While it is generally in the nature of the bidding process that efficient bidders prevail more successfully, there is a particularity in this case – contrary to the belief of the affected party68 – that German law, with § 20 GWB, also takes into account the interests of small and medium-sized enterprises. But even in light of this legislative valuation, the affected party is not obliged to completely or – by increasing the quota share significantly beyond 65%69 – almost completely forgo the recognized means of auction, just to ensure that as many small fuel companies as possible still have a chance to be allocated a station.</w:t>
      </w:r>
    </w:p>
    <w:p>
      <w:r>
        <w:t>This is not justified considering the highly fragmented oil industry in Germany, especially since § 20 GWB does not provide for protection of existing rights and there is the possibility of bidder communities for the affected fuel companies. Furthermore, the affected party has already taken the idea of equal opportunity into account in its award criteria to a large extent by only awarding a portion of its stations through the auction model, the stations in</w:t>
      </w:r>
    </w:p>
    <w:p>
      <w:r>
        <w:t>67</w:t>
        <w:br/>
        <w:t>BGH, Judgment of 03.03.2008, Ref. II ZR 124/06 = NJW 2008, 1583, 1585 "UMTS Licenses".</w:t>
        <w:br/>
        <w:t>68</w:t>
        <w:br/>
        <w:t>See Statement Tank &amp; Rast, p. 13.</w:t>
        <w:br/>
        <w:t>69</w:t>
        <w:br/>
        <w:t>See corresponding demand of the party joined as respondent 1 in Statement BFT II, p. 2.</w:t>
      </w:r>
    </w:p>
    <w:p>
      <w:r>
        <w:rPr>
          <w:b/>
        </w:rPr>
        <w:t>[Pages 34–36]</w:t>
      </w:r>
    </w:p>
    <w:p>
      <w:r>
        <w:t>- 34 -</w:t>
        <w:br/>
        <w:t>lotting and does not offer in packages and grants a discount to non-vertically integrated fuel companies. The prequalification also does not impose any barriers for small and medium-sized enterprises, as the previous supplier status – provided sufficient creditworthiness – is sufficient for participation in the auction. Finally, the affected party has taken particular account of the needs of small and medium-sized fuel companies in the specific design of the auction modalities in a manner that is not objectionable under antitrust law (see below under Part 2, Section B. I. 2. c) (2)).</w:t>
      </w:r>
    </w:p>
    <w:p>
      <w:r>
        <w:t>Ultimately, a far-reaching use of the quota model in the context of the award, contrary to the opinion of the parties joined as respondents 1 and 2, does not arise from the release decision "Tank und Raststätten AG" of the European Commission. It refers to the quota system at that time and states that Tank &amp; Rast consequently has no real influence on the structures of fuel sales via BAT. The decision does not indicate that the European Commission wanted to consider the old quota system as the only procedure to prevent discrimination or hindrance of fuel companies at the BAT.71</w:t>
      </w:r>
    </w:p>
    <w:p>
      <w:r>
        <w:t>(2) Regarding the auction rules in detail, the following can be said from an antitrust law perspective:</w:t>
        <w:br/>
        <w:t>Both the expert appointed by the decision division and the report submitted as part of the market test have pointed out the comparatively restrictive information dissemination during the ongoing auction. Participants receive almost no information about the bids of other auction participants and the bidding history. Additionally, the unknown threshold value for the unprofitable result (see the definition above in Part 1, Section IV.1.), which justifies the cancellation of the overall tender, is a factor. The affected party justifies its approach with the interest in avoiding collusion among bidders. The danger of implicit72 collusion can be countered by restrictions on information dissemination, for example, by not disclosing the identity of the highest bidder in a round.73 However, in the present case, the larger number of bidders counteracts this, making collusion more difficult. It must be conceded to the affected party that from its subjective perspective during the two-year discussion process in the industry, it has repeatedly seen coalitions of the affected companies that wanted to prevent a change in the award criteria. In this respect, it is to be granted some leeway. The decision division does not assess the restrictive information dissemination as arbitrary or unfair, considering this particular history, so that the theoretical discussion about the appropriate degree of information dissemination in multi-stage auctions can remain open. However, the assessment would need to be reconsidered for the design of an auction model used from January 1, 2018.</w:t>
      </w:r>
    </w:p>
    <w:p>
      <w:r>
        <w:t>The expert and the report submitted as part of the market test have highlighted that in the last auction round, a one-time submission of a final bid is provided for, as in a sealed bid auction, and thus high demands are placed on the strategic skill of the bidders. The assessment of this aspect must take into account from the perspective of the decision division that less experienced bidders also participate in the auction among the small and medium-sized enterprises interested in the rights allocation. In light of this, the design proposed by the affected party is justifiable against the background of the decision to be made here under § 32c GWB.</w:t>
      </w:r>
    </w:p>
    <w:p>
      <w:r>
        <w:t>First, every conventional tender essentially requires nothing more than the one-time submission of a bid. Second, while alternative solutions for ending the auction are conceivable (open-ended with a clearly defined cancellation criterion or stochastic end time), they would be equally demanding, if not even more so, for less experienced bidders. It is also not an option, as suggested in the market test, to modify the existing design of the last round so that with a new highest bid, the auction is extended by five minutes each time; this is simply not feasible with the one-time submission of a (final) bid. The temporal sequence is irrelevant in any case in the last round; rather, the time factor is reduced to the extension of the possibility to submit bids over several hours.</w:t>
      </w:r>
    </w:p>
    <w:p>
      <w:r>
        <w:t>Insofar as the affected party reserves a lot formation of a maximum of three stations per lot according to Section 3.1.1. of the market test document, there are no antitrust concerns against this – contrary to the opinion of the party joined as respondent 4.74 The lot formation allows the affected party to successfully auction the delivery and distribution rights of unattractive stations as well, and thus does not exceed the usual procedure in the context of auctions.</w:t>
      </w:r>
    </w:p>
    <w:p>
      <w:r>
        <w:t>According to Section 3.2.2. of the market test document in its clarified version, bidders must make every effort to ensure that at least one of the common brand-independent fleet cards (i.e., DKV and/or UTA) is accepted. This is not contradicted – contrary to the arguments presented by the party joined as respondent 6 during the market test and the legal hearing75 – by the fact that UTA has a participation from a large oil company. On the one hand, the affected party's requirement is permissible in that it aims to ensure that at least one fuel card is used that is accepted at all federal motorway service stations. In light of this objective, UTA is a "brand-independent" fuel card despite the mentioned entanglement. On the other hand, given the current fuel card situation at the federal motorway service stations, there is no concern that in the future brand-independent fuel cards will be hindered without any entanglement with a fuel company, for example, because bidders can rely on a fuel card entangled with an oil company. Currently, both brand-independent fuel cards are accepted at every federal motorway service station. The party joined as respondent 6 has not presented any evidence of how the new award criteria should have structurally changed this forecast so that it can no longer be made. Furthermore, a brand-independent fuel card does not necessarily provide its shareholder engaged in fuel distribution with a financial advantage in the auction, contrary to the opinion of the party joined as respondent 6, as a brand-independent fuel card also promotes the sale of competing brands. Even if it did, this financial advantage would be limited due to the lot limitation. Finally, the</w:t>
      </w:r>
    </w:p>
    <w:p>
      <w:r>
        <w:rPr>
          <w:b/>
        </w:rPr>
        <w:t>[Pages 37–39]</w:t>
      </w:r>
    </w:p>
    <w:p>
      <w:r>
        <w:t>- 37 -</w:t>
        <w:br/>
        <w:t>The approach of the affected party, not mandating the use of brand-independent fuel cards, prevents possible hindrances to bidders – as pointed out by the party joined as respondent 4.76 If a brand-independent fuel card company were to refuse to conclude a contract with the bidder, the award criteria would otherwise obligate them to something legally impossible. Unlike the concerns of the party joined as respondent 4, the decision division does not fear that the suppliers will be obligated to something legally impossible under the formulation now chosen by the affected party.</w:t>
      </w:r>
    </w:p>
    <w:p>
      <w:r>
        <w:t>As far as a change of fuel brand can be rejected by the affected party during the contract term according to section 3.2.3 of the market test document, the parties joined as respondents 2, 3, and 7 have raised concerns.77 On the one hand, they consider the lead time of twelve months to be too long; on the other hand, they criticize the rejection options of the affected party as purely subjective. The affected party has initially responded to the critics by shortening the period to six months through a statement in the meeting on January 12, 2011, and has at least waived the option to reject due to antitrust authority reservations. To the extent that it maintains the rejection option in the event of expected sales losses, it has sufficiently explained the underlying economic need. The affected party aims to prevent a specific strategy of such bidders who simultaneously offer fuel at neighboring truck stops. It should be prevented that these bidders rebrand the federal motorway service station to a discount brand and redirect the fleet card sales exceeding the basic quantity to the neighboring truck stop. Against this background, the decision division has no antitrust concerns regarding the regulation of brand changes in its current version. It should also be noted that it is not structured as an unconditional reservation of consent, but merely allows the affected party to reject for good cause. Furthermore, the bidder is completely free in the first brand choice; the brand is not even queried in the context of the award.</w:t>
      </w:r>
    </w:p>
    <w:p>
      <w:r>
        <w:t>- 38 -</w:t>
        <w:br/>
        <w:t>Regarding the regulation in section 4.8.7 of the market test document, according to which the affected party reserves the right to cancel the entire tender if the auction leads to an uneconomic result, no arbitrary regulation can be recognized therein. The affected party later clarified this provision by stating that the threshold value – related to the lot – will be deposited with a notary. Moreover, it rightly pointed out that a total cancellation also has significant consequences for the affected party itself and that the antitrust prohibition of discrimination and hindrance continues to apply after a cancellation of the tender.</w:t>
      </w:r>
    </w:p>
    <w:p>
      <w:r>
        <w:t>The standardization of the cash register system according to section 4.1.4.3 of the market test document may hinder the organizational freedoms of the bidders and incur some costs for them; however, it is not unreasonable. The affected party has convincingly demonstrated that it will bear a large part of the costs itself and that the costs remaining with the bidder will ultimately be reflected in lower bids. Additionally, it has initiated workshops to train the bidders and thus contribute to a smooth system transition. Furthermore, a uniformly prescribed cash register system by the affected party prevents potential abuse by market-dominating fuel suppliers against the liquid gas suppliers who are awarded the separate delivery and distribution rights for autogas. These suppliers had previously complained to the Federal Cartel Office and the affected party that their use of foreign cash register systems was made more difficult and access to federal motorway service stations was largely denied. Finally, the requirement of a uniform cash register system is not unreasonable, as it ensures that the inventory management for which the affected party is responsible can be implemented smoothly at the station.</w:t>
      </w:r>
    </w:p>
    <w:p>
      <w:r>
        <w:t>d) Self-Supply</w:t>
        <w:br/>
        <w:t>Regarding the self-supply of federal motorway service stations planned by the affected party, this arrangement is not objectionable from an antitrust perspective.</w:t>
      </w:r>
    </w:p>
    <w:p>
      <w:r>
        <w:t>As a private, market-dominating company, the affected party is free to structure its business autonomously and to ensure the delivery and subsequent distribution of fuels at the federal motorway service stations not only through the involvement of fuel companies but also to take this on itself.78 However, since the affected party, due to the lack of its own fuel base in the case of self-management, is again dependent on the supply by fuel companies and their brand, this is not unrestricted. Such self-management must not lead to circumvention of the affected party's antitrust obligations for non-discriminatory and non-hindering awarding by concluding brand partner contracts instead of awarding delivery and distribution rights without an antitrust-compliant procurement procedure for the operation of the service station. Given the manageable scope of self-supply of 5 or 10% of the federal motorway service stations, there is no fear of circumventing §§ 19, 20 GWB or Art. 102 TFEU.</w:t>
      </w:r>
    </w:p>
    <w:p>
      <w:r>
        <w:t>The affected party is also not denied self-supply from an antitrust perspective because it could use a cross-subsidization of the fuel sector by the other business area for aggressive pricing policies in fuel sales, as was discussed in the market test.79 There are no indications for such an approach; the affected party has countered this in the meeting on January 12, 2011.</w:t>
      </w:r>
    </w:p>
    <w:p>
      <w:r>
        <w:t>To the extent that many statements point out that the business data of the fuel companies disclosed during the rights award could be used to their disadvantage in the context of self-supply, the affected party has taken effective precautions with the unbundling measures it has planned. Even these precautions are considered insufficient by market test participants.80 However, further precautions such as ownership unbundling cannot be demanded from the affected party, as the dimension of the conflict – compared, for example, to the conditions in the energy supply sector – does not require this. Ongoing monitoring of the unbundling by the decision division, as suggested by the party joined as respondent 3,81 is also not required. Should specific competition problems arise despite the precautions taken, these can be addressed by the antitrust authority.</w:t>
      </w:r>
    </w:p>
    <w:p>
      <w:r>
        <w:rPr>
          <w:b/>
        </w:rPr>
        <w:t>[Pages 40–42]</w:t>
      </w:r>
    </w:p>
    <w:p>
      <w:r>
        <w:t>- 40 -</w:t>
        <w:br/>
        <w:t>can be addressed separately. However, the affected party has followed the suggestion of the party joined as respondent 7 that the auditor commissioned by it reports to the decision division, which it promised in the meeting with the decision division on January 12, 2011.</w:t>
      </w:r>
    </w:p>
    <w:p>
      <w:r>
        <w:t>e) Agency Contracts</w:t>
        <w:br/>
        <w:t>The party joined as respondent 4 criticizes the provision in the agency contract templates that allows the affected party to select a sales representative in a way that releases it from liability, which the party joined as respondent 4 sees as impairing its influence over the lessee.83 A market test participant also raises this point, primarily from a general terms and conditions (AGB) law perspective.84 The affected party counters this by pointing out that any misconduct by the lessee it selects is directly controllable by the fuel company. To the extent that the agency contract with the fuel company is later transferred by the affected party to the lessee, the fuel company directly enters into a contractual relationship with the lessee and can terminate the contract for justified reasons according to Section 11.4 letters a) and b) of the agency contract template. To the extent that the affected party remains the contracting party and only appoints a lessee in a sub-agency relationship, the fuel company has these termination rights directly against the affected party. The decision division does not see any reason, in light of this contractual arrangement, to address this essentially civil law dispute using antitrust law.</w:t>
      </w:r>
    </w:p>
    <w:p>
      <w:r>
        <w:t>II. Antitrust Prohibition</w:t>
        <w:br/>
        <w:t>The conditions for the antitrust prohibition under § 1 GWB or Article 101 TFEU are not met according to the findings available to the decision division.</w:t>
      </w:r>
    </w:p>
    <w:p>
      <w:r>
        <w:t>1. Agreement</w:t>
        <w:br/>
        <w:t>After the award process, the affected party will conclude contracts with fuel companies for the supply of federal motorway service stations with gasoline and diesel fuel. The procurement rules serve the affected party to define its contractual partners, the scope of the contracted federal motorway service stations, and other contractual details. In this respect, agreements between companies exist in the sense of § 1 GWB and Article 101(1) TFEU. Although there is no agreement among the operators triggered by the allocation of federal motorway service stations based on a far-reaching quota model (as will be discussed shortly under 2. a)), the competition restriction is based on the fact that all operators of the service stations allocated according to the quota model enter into substantively identical contracts with the affected party. However, such a bundle of coordinated vertical contracts produces the same result as if the operators of the service stations allocated according to the quota model had agreed on a horizontal contract among themselves (so-called star contract). This is sufficient to be considered an agreement in the sense of § 1 GWB and Article 101 TFEU.</w:t>
      </w:r>
    </w:p>
    <w:p>
      <w:r>
        <w:t>2. Competition Restriction</w:t>
        <w:br/>
        <w:t>The contractual system to be established by implementing the procurement criteria does not reveal any noticeable competition restrictions that would require intervention under antitrust law.</w:t>
      </w:r>
    </w:p>
    <w:p>
      <w:r>
        <w:t>a) Continued Use of the Quota Model</w:t>
        <w:br/>
        <w:t>To the extent that the affected party uses the quota model within the intended limits, there is no reason for the decision division to initiate an antitrust administrative procedure.</w:t>
      </w:r>
    </w:p>
    <w:p>
      <w:r>
        <w:t>(1) The last practiced procedure of allocating all delivery and distribution rights according to quota would, however, be quite suitable for the future to restrict competition for these rights. On the one hand, this would keep fuel companies out of the market that want to gain market entry in Germany initially through the motorway business and are reportedly actively pursuing this. On the other hand, fuel companies that are already active in the German road business would be restricted in their economic freedom, particularly those that want to overweight the motorway business. Both strategies are not permitted by a model that ties the distribution of all rights to federal motorway service stations precisely to the presence in the German road service station business. Finally, if the old allocation system were continued, it could not be ruled out that incentives for sales-promoting measures would be removed, as disproportionate sales increases at federal motorway service stations could theoretically lead to a reduction in the allocation quantity in the context of subsequent quota adjustments. It is not contrary to this that the traditional quota model was originally established with the involvement of the Federal Cartel Office and was not criticized by the office in the following decades. For a long time, ensuring a non-discriminatory allocation of rights was the focus of antitrust assessment. However, the aspect of avoiding market closures has become increasingly significant. Antitrust law therefore requires the affected party in the future to provide procurement criteria that are not only non-discriminatory but also prevent market closures. In the case of presenting procurement criteria that would again involve the allocation of all delivery and distribution rights according to quota, a decision under § 32 c GWB would not have been possible.</w:t>
      </w:r>
    </w:p>
    <w:p>
      <w:r>
        <w:t>No differing assessment arises from the legal opinion submitted at an earlier time by the party joined as respondent 1. The subject of this legal opinion is the question of whether the (pure) quota model ensures a non-discriminatory allocation and what leeway the affected party has as a dominant market player when changing the procurement criteria. The question of the closure effect, however, plays no role.</w:t>
      </w:r>
    </w:p>
    <w:p>
      <w:r>
        <w:t>(2) The examination of the present procurement criteria does not expect a competition restriction of the type described above in both conceivable case variants. On the one hand, the party joined as respondent 3 will no longer have any function in the distribution of rights; specifically, the adjustment of the quota determination will be taken over by an expert appointed by the affected party, previously coordinated with the Federal Cartel Office, according to Section 2.3.2 of the market test document. This now also takes into account a recommendation made by the decision division to the party joined as respondent 3 in a letter dated March 25, 2009, which the party joined as respondent 4 rightly points out.85</w:t>
      </w:r>
    </w:p>
    <w:p>
      <w:r>
        <w:rPr>
          <w:b/>
        </w:rPr>
        <w:t>[Pages 43–45]</w:t>
      </w:r>
    </w:p>
    <w:p>
      <w:r>
        <w:t>- 43 -</w:t>
        <w:br/>
        <w:t>On the other hand, the affected party has sought to eliminate negative incentives regarding sales-promoting measures by focusing on base quantities. Finally, by moving away from a continuous quota model towards a reduced model in favor of other award mechanisms, there will be sufficient room for market entry by newcomers or for more differentiated business strategies of already active fuel companies in the future. The latter applies without further ado for the period under consideration here in the event that a quota share of 35% is reached, as more than half of the rights would then be awarded according to methods that are open to newcomers or for more differentiated business strategies. The same conclusion is ultimately reached in the case where the quota share is initially 65% and then lies between 40-49% starting from January 1, 2018. Here, the necessary opening of rights in the sense of a market opening path is achieved, whereby it can be accepted that the quota share is still above 50% at the beginning of the path. On the one hand, the current interest from newcomers is still low, as evidenced by the lack of response to the market test – which was additionally made available in English – and as also predicted by independent parties in the market test. On the other hand, market participants should be granted a gradual transition in light of the learning process with the initial introduction of auctioning after more than 40 years. It may be true that the learning curve can be achieved with a higher quota share – as stated by the party joined as respondent 186 – or without any quota share at all with alternative accompanying models – as stated by the party joined as respondent 487. However, what is crucial is that among several possible award methods, the affected party has chosen one that does not give rise to intervention by the antitrust authority.</w:t>
      </w:r>
    </w:p>
    <w:p>
      <w:r>
        <w:t>- 44 -</w:t>
        <w:br/>
        <w:t>b) Bundling of small and medium-sized service stations by parties joined as respondents 1 and 2</w:t>
        <w:br/>
        <w:t>Regarding the approach planned by the affected party according to section 2.3.2 of the market test document to centrally negotiate and distribute the federal motorway service stations allocated to their members under the quota model with the parties joined as respondents 1 and 2, the decision division will, as in the past, not initiate any antitrust measures against it. Although it is the case that the threshold of 10% market share mentioned in the triviality announcement of the Federal Cartel Office is slightly exceeded for each of the two affected parties joined, this is evident from a look at the combined sales shares of their respective members in the motorway service station business. However, the decision division will continue to tolerate the planned approach. On the one hand, this simplifies the otherwise nearly impossible fine distribution of the individual service stations for both sides, given the fragmentation of the membership. On the other hand, an important part of the distribution has already been determined by the preceding and, as seen above, antitrust-compliant award decision of the affected party with the quota determination.</w:t>
      </w:r>
    </w:p>
    <w:p>
      <w:r>
        <w:t>c) Agency contracts</w:t>
        <w:br/>
        <w:t>The agency contract for the auctioned service station inventory is within the usual framework regarding the essential elements – commercial representatives for fuels, price sovereignty regarding fuels with the fuel company, invoicing indication for sales in another's name and on another's account. It is less common so far that lubricants are to be sold in the affected party's own business, which, according to the affected party, is increasingly desired. Currently, they are mostly covered by the commercial representative relationship. To the extent that the agency contract template submitted on December 8, 2010 still allowed the contracting parties the possibility that the fuel company could set binding maximum prices for lubricants sold by the lessee in their own business (section 1.3), this has been removed at the suggestion of the decision division. Although maximum price agreements may be permissible under European and, since the 7th amendment to the GWB, also German antitrust law according to Art. 4 letter a) of the Vertical Block Exemption Regulation, there are serious doubts about the exemption capability due to the widespread use in all agency relationships along the motorway.</w:t>
      </w:r>
    </w:p>
    <w:p>
      <w:r>
        <w:t>d) Cash register system</w:t>
        <w:br/>
        <w:t>The concern that a restriction of competition is triggered in any way on a definable market for cash register systems by the affected party uniformly imposing the system of a specific provider on its bidders does not find support in the statements. Even with a narrow definition of the business field to cash register systems for service stations, the exclusive awarding of cash register systems for the approximately 293 federal motorway service stations to one provider would not prima facie restrict competition among nearly 14,400 service stations in Germany. The affected party has a comparatively manageable service station quota here compared to large fuel companies. Furthermore, the affected party explained at the request of the decision division that it is working with the relevant provider to develop solutions that would allow the cash register systems of this provider to communicate with foreign cash register systems. As a result, it is therefore aimed by the affected party, as evidenced by its presentation in the meeting with the decision division on December 16, 2010, that two cash register systems can indeed be used in the background, even if the system of the specified provider is used externally.</w:t>
      </w:r>
    </w:p>
    <w:p>
      <w:r>
        <w:t>III. Prohibition of Price Abuse</w:t>
        <w:br/>
        <w:t>To the extent that some statements expect that the fees found through auctioning will be abusively high and refer generally to experiences with corresponding occurrences abroad, this does not give rise to a different assessment or even to antitrust measures. On the one hand, there is already a lack of a concretely tangible fee from the affected party that could be reviewed under § 19 Abs. 1, Abs. 4 Nr. 2 GWB and Art. 102 sentence 2 letter a) TFEU, as the auctioning process does not provide a specific fee.</w:t>
      </w:r>
    </w:p>
    <w:p>
      <w:r>
        <w:rPr>
          <w:b/>
        </w:rPr>
        <w:t>[Pages 46–48]</w:t>
      </w:r>
    </w:p>
    <w:p>
      <w:r>
        <w:t>- 46 -</w:t>
        <w:br/>
        <w:t>is still pending and its results cannot realistically be predicted with the precision required for a cartel enforcement procedure. On the other hand, it has not been substantiated what prices would likely arise under effective competition. The previous prices cannot be relied upon, as they were achieved within a procurement model that has recently been suspected of being suitable for market foreclosure.</w:t>
      </w:r>
    </w:p>
    <w:p>
      <w:r>
        <w:t>Regarding the fuel prices demanded by the fuel companies at the auctioned stations, the planned pricing model, with its tendentially lower variable rates for the fuel companies, makes a high-price strategy less attractive than before. Also, with respect to the minimum bid provided by the affected party in the auction model, there is prima facie no concern about the exploitation of the bidding side. This is because these minimum bids will, according to the calculation method,90 be significantly below the currently payable compensations for the delivery rights.</w:t>
      </w:r>
    </w:p>
    <w:p>
      <w:r>
        <w:t>B. Discretion</w:t>
        <w:br/>
        <w:t>The decision division makes the decision pursuant to § 32c GWB in the proper exercise of its existing discretion for this purpose. A corresponding decision is proportionate. The business area of fuel distribution through federal motorway service stations affects an economically significant market. Based on the figures for 2008, approximately 2 billion liters of fuel are sold annually through federal motorway service stations, with the earning potential for the affected economic circles being significantly higher than in the street service station business and the quantities sold per station being on average twice as high as in the street service station business. Furthermore, the decision pursuant to § 32c GWB is suitable and appropriate for clarification and in the interest of legal certainty regarding the conduct of authorities. On the one hand, § 3 sentence 3 of the framework agreement between the Federal Republic of Germany and the affected party states that a change to the previous quota model in coordination with the competent competition authorities is permissible. On the other hand, the announcement of the change in the procurement rules by the affected party has triggered an intensive and sometimes heated discussion about their permissibility. The decision pursuant to § 32c GWB thus creates legal clarity and certainty in this regard. This occurs against the background that a fundamental redesign of the procurement is to be decided here, replacing a procurement model that has been practiced for decades. The decision division does not intend to address future detailed changes again within the framework of an elaborate procedure under § 32c GWB.</w:t>
      </w:r>
    </w:p>
    <w:p>
      <w:r>
        <w:t>To the extent that the decision division has limited the breadth and depth of its examination, the aspects affected by this appeared economically and normatively not significant enough that their treatment would have seemed warranted in the public interest. Based on the generally positive findings regarding the cornerstones of the system, the decision division could also refrain from continuing the administrative procedure regarding a possible prohibition under § 32 GWB.</w:t>
      </w:r>
    </w:p>
    <w:p>
      <w:r>
        <w:t>Part 3. Fees</w:t>
        <w:br/>
        <w:t>...</w:t>
      </w:r>
    </w:p>
    <w:p>
      <w:r>
        <w:t>- 48 -</w:t>
        <w:br/>
        <w:t>Notice of Appeal</w:t>
        <w:br/>
        <w:t>An appeal against this decision is permissible. It must be submitted in writing within a period of one month starting from the delivery of the decision to the Bundeskartellamt, Kaiser-Friedrich-Straße 16, 53113 Bonn. However, it is sufficient if it is received within this period by the appellate court, the Higher Regional Court of Düsseldorf. The appeal must be substantiated by a written statement submitted to the Bundeskartellamt or the appellate court. The deadline for the appeal substantiation is two months. It begins with the delivery of the contested order and can be extended upon request by the presiding judge of the appellate court. The appeal substantiation must contain the statement of the extent to which the decision is being contested and the request for its amendment or annulment, and specify the facts and evidence, possibly also new ones, on which the appeal is based.</w:t>
      </w:r>
    </w:p>
    <w:p>
      <w:r>
        <w:t>The appeal and the appeal substantiation must be signed by a lawyer.</w:t>
      </w:r>
    </w:p>
    <w:p>
      <w:r>
        <w:t>The appeal does not have suspensive effect. Upon request, the appellate court may order the suspensive effect of the appeal in whole or in part.</w:t>
      </w:r>
    </w:p>
    <w:p>
      <w:r>
        <w:t>Dr. Carsten Becker Dr. Charlotte Zapfe Sandro Gleave</w:t>
      </w:r>
    </w:p>
    <w:p>
      <w:r>
        <w:t>It is pointed out that this decision – in terms of its tenor – will be published in the Federal Gazette (§ 62 sentence 2 GWB) and – in full text – on the internet at www.bundeskartellamt.de. You are therefore requested to inform the decision division within two weeks of receiving this decision whether the decision contains trade secrets that need to be deleted before publication. Please justify the deletions you request.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