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http://www.bundeskartellamt.de/SharedDocs/Entscheidung/DE/Fallberichte/Kartellverbot/2011/B9-1-10-68.pdf;jsessionid=E768DAC1BE94E7F3FA6A855938CDA02C.1_cid387?__blob=publicationFile&amp;v=5</w:t>
      </w:r>
    </w:p>
    <w:p>
      <w:r>
        <w:t>Pages translated : 3</w:t>
      </w:r>
    </w:p>
    <w:p/>
    <w:p>
      <w:r>
        <w:rPr>
          <w:b/>
        </w:rPr>
        <w:t>[Pages 1–3]</w:t>
      </w:r>
    </w:p>
    <w:p>
      <w:r>
        <w:t>1</w:t>
        <w:br/>
        <w:t>Case Report February 25, 2011</w:t>
        <w:br/>
        <w:t>Suspicion of a violation of § 1 GWB, Art. 101 TFEU (buying up competition) in the procurement review procedure Abellio Rail NRW GmbH – Verkehrsverbund Rhein-Ruhr AöR and DB Regio NRW GmbH</w:t>
        <w:br/>
        <w:t>Sector: Land Transport (60)</w:t>
        <w:br/>
        <w:t>File Number: B 9 – 1/10 – 68</w:t>
        <w:br/>
        <w:t>Period: December 2010 to February 2011</w:t>
        <w:br/>
        <w:t>The Federal Cartel Office acted in the procurement review procedure Abellio Rail NRW GmbH (Abellio) – Verkehrsverbund Rhein-Ruhr AöR (VRR) before the Federal Court of Justice (X ZB 4/10, decision of February 8, 2011) due to the suspicion of a violation of § 1 GWB, Art. 101 TFEU (buying up competition).</w:t>
      </w:r>
    </w:p>
    <w:p>
      <w:r>
        <w:t>Shortly before the oral hearing before the Federal Court of Justice on December 7, 2010, the Federal Cartel Office learned from industry sources that Abellio and DB Regio NRW GmbH (DB Regio NRW) were in settlement negotiations aimed at ending the proceedings before the BGH. Abellio was to withdraw the review application and, in return, act as a subcontractor for DB Regio NRW on certain S-Bahn lines. The VRR as the contracting authority was to agree to such a subcontractor agreement. The Federal Cartel Office informed Abellio, the VRR, and DB Regio NRW that such behavior would suggest a suspicion of a violation of § 1 GWB, Art. 101 TFEU (buying up competition). Subsequently, no agreement was reached between Abellio, DB Regio NRW, and the VRR before the oral hearing before the Federal Court of Justice.</w:t>
      </w:r>
    </w:p>
    <w:p>
      <w:r>
        <w:t>The subject of the review procedure was the fundamental and crucial legal question for the competitive conditions in local rail passenger transport (SPNV) as to whether SPNV contracts must be awarded according to general procurement law (Part 4 of the GWB) or whether the General Railway Act, which according to widespread opinion allows for direct awards (§ 15 Abs. 2 General Railway Act - AEG), takes precedence. In the review procedure, Abellio opposed a direct award of a transport contract that included SPNV services by the VRR as the contracting authority to DB Regio NRW. The Procurement Chamber at the District Government of Münster declared the transport contract invalid due to a violation of procurement law (VK 1/10). It held the view that procurement law (Part 4 of the GWB) takes precedence over general railway law. The Higher Regional Court of Düsseldorf, which was called upon by the complaint and shared the legal opinion of the Procurement Chamber of Münster, found itself prevented from making a decision due to a differing decision by the Higher Regional Court of Brandenburg and had submitted the matter to the Federal Court of Justice (VII-Verg 19/10). The Federal Court of Justice had scheduled the announcement date for February 8, 2011.</w:t>
      </w:r>
    </w:p>
    <w:p>
      <w:r>
        <w:t>In the discussions held with the parties after the oral hearing before the Federal Court of Justice, the parties confirmed the settlement negotiations and their content (withdrawal of the review application, subcontractor agreement for Abellio). The interests presented by the parties in a settlement or in the continuation of the awarded transport contract ultimately lacked sufficient weight under antitrust and procurement law.</w:t>
      </w:r>
    </w:p>
    <w:p>
      <w:r>
        <w:t>With the procurement review procedure, Abellio pursued its claim to be able to apply for contracts in a competitive process in the SPNV, which are awarded by the responsible contracting authorities (so-called "competition for the market"). This had created competitive pressure on DB Regio NRW, which would be further intensified by the announcement of a decision from the Federal Court of Justice in its favor. By withdrawing the review application, Abellio would have waived any opportunity to compete for the SPNV contracts. The competitive pressure on DB Regio NRW would have been permanently eliminated by a settlement with immediate effect, and further competition for this market would have been excluded for years (waiver of competition). This waiver of competition to the detriment of Abellio would not have been compensated by the conclusion of a subcontractor agreement. Because Abellio would not have operated in the contracting authority market, i.e., the market where the contracting authority as a demander of SPNV services (here the VRR) and the transport company as a provider of SPNV services face each other. In this market, only DB Regio NRW would have continued to operate as the contractual partner of the VRR. Abellio would rather have only operated in the downstream market for contract transport as a subcontractor of DB Regio NRW. It would not have been able to design its activities freely but could only have operated within the framework set by DB Regio NRW with the VRR. For the waiver of competition in the contracting authority market through the withdrawal of the review application, Abellio was to receive subcontractor agreements as economic compensation. This connection between the waiver of competition for the market and an economic consideration established the initial suspicion of buying up competition.</w:t>
      </w:r>
    </w:p>
    <w:p>
      <w:r>
        <w:t>3</w:t>
        <w:br/>
        <w:t>The economic interests of the VRR in the continuation of the transport contract could not justify a settlement either. The procurement law provisions, which are intended to lead to a more economical procurement by the public sector through the opening of competition for the market, are not at the disposal of the contracting authority. In the application of procurement law, the interests of third parties and the public are always affected. This leads to the conclusion that settlements in procurement law matters must always be viewed critically. Financial interests of the contracting authority in the continuation of a possibly procurement law-violating contract cannot justify a settlement in any case. The submissions of the parties were therefore not suitable to dispel the initial suspicion of a violation of § 1 GWB, Art. 101 TFEU.</w:t>
      </w:r>
    </w:p>
    <w:p>
      <w:r>
        <w:t>The Federal Cartel Office therefore announced to the parties the initiation of administrative offense proceedings if Abellio withdrew the review application and received any form of consideration in return. Subsequently, there was no withdrawal of the review application.</w:t>
      </w:r>
    </w:p>
    <w:p>
      <w:r>
        <w:t>On February 8, 2011, the Federal Court of Justice declared Abellio's review application to be justified and fundamentally decided that SPNV services must be awarded according to the procurement law provisions of Part 4 of the GWB. According to the decision of the Federal Court of Justice, § 15 Abs. 2 AEG does not take precedence over the GWB as a more specific law, but is displaced by the procurement law provisions of the GWB as the newer law. The BGH also found that national procurement law opposes a direct award under Regulation (EC) No. 1370/07.</w:t>
      </w:r>
    </w:p>
    <w:p>
      <w:r>
        <w:t>This fundamental decision represents a significant improvement in the competitive conditions in the SPNV.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