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http://www.bundeskartellamt.de/SharedDocs/Entscheidung/DE/Entscheidungen/Fusionskontrolle/2004/B9-101-04.pdf;jsessionid=9C4C049730232B41B7A0C25F03BDA341.1_cid371?__blob=publicationFile&amp;v=3</w:t>
      </w:r>
    </w:p>
    <w:p>
      <w:r>
        <w:t>Pages translated : 20</w:t>
      </w:r>
    </w:p>
    <w:p/>
    <w:p>
      <w:r>
        <w:rPr>
          <w:b/>
        </w:rPr>
        <w:t>[Pages 1–3]</w:t>
      </w:r>
    </w:p>
    <w:p>
      <w:r>
        <w:t xml:space="preserve">BUNDESKARTELLAMT  </w:t>
        <w:br/>
        <w:t xml:space="preserve">9. DECISION-MAKING DEPARTMENT  </w:t>
        <w:br/>
        <w:t xml:space="preserve">B9 - 101/04  </w:t>
        <w:br/>
        <w:t xml:space="preserve">FOR PUBLICATION  </w:t>
        <w:br/>
        <w:t xml:space="preserve">MERGER PROCEDURE  </w:t>
        <w:br/>
        <w:t xml:space="preserve">ORDER PURSUANT TO § 40 PARA. 2 GWB  </w:t>
        <w:br/>
        <w:t xml:space="preserve">DECISION  </w:t>
        <w:br/>
        <w:t xml:space="preserve">In the administrative procedure  </w:t>
        <w:br/>
        <w:t xml:space="preserve">1. Belgian New Fruit Wharf  </w:t>
        <w:br/>
        <w:t xml:space="preserve">Representatives 1 to 4:  </w:t>
        <w:br/>
        <w:t xml:space="preserve">Rostockweg 1, Haven 212  </w:t>
        <w:br/>
        <w:t xml:space="preserve">Lawyers Wilmer Cutler Pickering  </w:t>
        <w:br/>
        <w:t xml:space="preserve">B-2030 Antwerp/Belgium  </w:t>
        <w:br/>
        <w:t xml:space="preserve">Hale and Dorr  </w:t>
        <w:br/>
        <w:t xml:space="preserve">Friedrichstrasse 95  </w:t>
        <w:br/>
        <w:t xml:space="preserve">2. Hamburger Hafen- und Lagerhaus-AG  </w:t>
        <w:br/>
        <w:t xml:space="preserve">D - 10117 Berlin  </w:t>
        <w:br/>
        <w:t xml:space="preserve">Bei St. Annen 1  </w:t>
        <w:br/>
        <w:t xml:space="preserve">D-20457 Hamburg  </w:t>
        <w:br/>
        <w:t xml:space="preserve">3. HHLA Frucht- und Kühlzentrum GmbH  </w:t>
        <w:br/>
        <w:t xml:space="preserve">Bei St. Annen 1 (Sachsenbrücke)  </w:t>
        <w:br/>
        <w:t xml:space="preserve">D-20457 Hamburg  </w:t>
        <w:br/>
        <w:t xml:space="preserve">4. Ulrich Stein GmbH  </w:t>
        <w:br/>
        <w:t xml:space="preserve">Asiastr. 11-19  </w:t>
        <w:br/>
        <w:t>D-20457 Hamburg - Participants -</w:t>
      </w:r>
    </w:p>
    <w:p>
      <w:r>
        <w:t xml:space="preserve">2  </w:t>
        <w:br/>
        <w:t xml:space="preserve">regarding the examination of a merger project pursuant to § 36 GWB, the 9th decision-making department of the Bundeskartellamt decided on December 14, 2004:  </w:t>
        <w:br/>
        <w:t xml:space="preserve">The merger notified by letter dated August 31, 2004, is not prohibited.  </w:t>
        <w:br/>
        <w:t xml:space="preserve">The fee for the notification is set at [...] euros and imposed on participants 1 to 4.  </w:t>
        <w:br/>
        <w:t xml:space="preserve">Reasons  </w:t>
        <w:br/>
        <w:t xml:space="preserve">1. By letter dated August 31, 2004 – received by the Bundeskartellamt on September 1, 2004 – the participants 1 to 4 notified the following merger project:  </w:t>
        <w:br/>
        <w:t xml:space="preserve">2. Belgian New Fruit Wharf NV (participant 1, hereinafter: BNFW) intends to acquire 49.03% of the share capital of HHLA Frucht- und Kühlzentrum GmbH (participant 3, hereinafter: HHLA-FKZ) through a capital increase. Furthermore, BNFW intends to acquire 49% of the share capital of Ulrich Stein GmbH, Hamburg (participant 4, hereinafter: Ulrich Stein GmbH). HHLA-FKZ and Ulrich Stein GmbH were previously 100% subsidiaries of Hamburger Hafen- und Lagerhaus AG, Hamburg (participant 2, hereinafter: HHLA), which will continue to hold the remaining shares in the share capital of both companies (50.97% and 51%, respectively). [...]  </w:t>
        <w:br/>
        <w:t xml:space="preserve">3. After reviewing the notification, the decision-making department determined that the notified project falls within the scope of the Act Against Restraints of Competition (GWB). On September 24, 2004, participants 1 to 4 received notification through their representatives that the decision-making department had entered into the examination of the merger (main examination procedure).  </w:t>
        <w:br/>
        <w:t xml:space="preserve">4. In the further course of the procedure, the decision-making department obtained additional information from customers and competitors to clarify the conditions in the markets affected by the merger in the area of fruit handling at the ports of the so-called Hamburg-Le Havre Range.  </w:t>
        <w:br/>
        <w:t xml:space="preserve">I. THE PARTICIPATING COMPANIES  </w:t>
        <w:br/>
        <w:t xml:space="preserve">5. BNFW is a 100% subsidiary of the Belgian Sea-Invest Group through several intermediate holdings, which is a pure holding company, the shares of which are predominantly held by Financiele Vennootschap der Vlaanderen N.V. (FVV). The companies of the FVV Group are primarily engaged in the handling of bulk goods, liquids, and fruit handling in Belgium and France. BNFW itself is active in fruit handling in the Belgian ports of Antwerp and Zeebrugge. In addition, BNFW holds stakes in several Belgian companies that are associated with fruit transport and fruit storage (refrigeration centers). Recently, the Sea-Invest Group acquired a French port handling company (Leon Vincent), which is also active in fruit handling at the ports of Dieppe and Marseille. This merger has been approved by the French competition authority in the simplified procedure.  </w:t>
        <w:br/>
        <w:t xml:space="preserve">In 2003, BNFW achieved total revenues of [...] million euros, which were generated exclusively in Belgium. The consolidated total revenue of the FVV Group in 2003 amounted to [...] million euros, which were generated exclusively in the EU outside Germany. This means that none of the Sea-Invest subsidiaries has so far offered fruit handling services in a German port.  </w:t>
        <w:br/>
        <w:t xml:space="preserve">6. HHLA is based in Hamburg. Its shares are held 50.6% by HGV Hamburger Gesellschaft für Vermögensverwaltung mbH (HGV), which in turn is 100% owned by the Free and Hanseatic City of Hamburg. The remaining 49.4% of HHLA is held by the HHLA Beteiligungsgesellschaft, which is also a 100% subsidiary of HGV. The revenue generated by HGV from its holdings amounted to approximately [...] million euros in the fiscal year 2001.  </w:t>
        <w:br/>
        <w:t xml:space="preserve">HHLA and its subsidiaries conduct all business of the seaport transport economy and are active at the Hamburg location in the fields of port handling, hinterland transport, storage and distribution, as well as handling-related services, real estate, and consulting. HHLA is known to the decision-making department through several merger procedures, most recently through the establishment of a joint venture with Rhenus AG Dortmund for the operation of a railway transshipment terminal at the Hamburg-Altenwerder container terminal for combined transport.  </w:t>
        <w:br/>
        <w:t xml:space="preserve">HHLA achieved worldwide consolidated total revenues of [...] million euros in the fiscal year 2003.  </w:t>
        <w:br/>
        <w:t xml:space="preserve">1 Consolidated profit and loss statement HGV 2002  </w:t>
        <w:br/>
        <w:t>2 B 9 – 5/02.</w:t>
      </w:r>
    </w:p>
    <w:p>
      <w:r>
        <w:rPr>
          <w:b/>
        </w:rPr>
        <w:t>[Pages 4–6]</w:t>
      </w:r>
    </w:p>
    <w:p>
      <w:r>
        <w:t xml:space="preserve">4  </w:t>
        <w:br/>
        <w:t xml:space="preserve">revenues of €637.5 million, of which €70.6 million were attributable to European foreign countries. €549.6 million were generated solely in Germany.  </w:t>
        <w:br/>
        <w:t xml:space="preserve">7. HHLA-FKZ, based in Hamburg, is currently a 100% subsidiary of HHLA. It operates in the areas of fruit handling, handling of pyrotechnic materials, warehousing, and packing activities. In 2003, HHLA-FKZ achieved revenues of [...] million €, which were generated exclusively in Germany.  </w:t>
        <w:br/>
        <w:t xml:space="preserve">8. Ulrich Stein GmbH is also a 100% subsidiary of HHLA based in Hamburg, which HHLA acquired from Stinnes AG in 2001. Ulrich Stein GmbH operates exclusively in the fruit center of HHLA and is engaged in the freight forwarding business for the transport of perishable foodstuffs. Its current activity consists of the freight forwarding of all kinds of fruits imported via Hamburg. It organizes and arranges the shipment of perishable foodstuffs based on a freight forwarding contract for a fixed fee (fixed-cost freight forwarder) and does not operate as a carrier within the meaning of § 407 HGB. Clients of Ulrich Stein GmbH include marketing organizations such as EDEKA and Fruchtring. Ulrich Stein GmbH achieved total revenues of [...] million € in 2003, of which [...] million € were generated in Germany, while the remainder was attributable to European foreign countries.  </w:t>
        <w:br/>
        <w:t xml:space="preserve">II. MERGER  </w:t>
        <w:br/>
        <w:t xml:space="preserve">9. The background of the merger project is a planned engagement of the Sea-Invest Group in the fruit handling sector of the Port of Hamburg. In this context, Sea-Invest intends to make significant investments in the improvement and modernization of the port facilities at the fruit handling terminal in the Port of Hamburg with the aim of revitalizing the Hamburg location in the fruit handling sector.  </w:t>
        <w:br/>
        <w:t xml:space="preserve">10. In addition to a capital participation in HHLA-FKZ, the rental - and at a later date also the purchase - of the tangible assets of the area at O’Swaldkai, where HHLA-FKZ operates, is planned. The approval for the sale is granted by the Free and Hanseatic City of Hamburg. BNFW thereby acquires 49.03% of the capital shares in HHLA-FKZ as well as the option for ownership and usage rights to the entirety of the company assets in the form of buildings and facilities, as well as enhanced usage rights to certain warehouses, operational buildings, and surface improvements on the area leased from the Free and Hanseatic City of Hamburg.  </w:t>
        <w:br/>
        <w:t xml:space="preserve">11. Furthermore, the participating companies intend to conclude Shareholders’ Agreements for HHLA-FKZ and Ulrich Stein GmbH. According to this, BNFW and HHLA are to each appoint one managing director, and it is intended to establish a supervisory board composed of two persons from each side, which must approve all significant strategic decisions, particularly the business plan. Should no agreement be reached, the vote of the chairman, who is appointed by HHLA, shall be decisive.  </w:t>
        <w:br/>
        <w:t xml:space="preserve">12. The agreement contains provisions regarding a non-competition clause, which prohibits the shareholders HHLA and BNFW from competing against each other during the validity of the agreement. Spatially, this non-competition clause is limited to all German seaports.  </w:t>
        <w:br/>
        <w:t xml:space="preserve">13. [...]  </w:t>
        <w:br/>
        <w:t xml:space="preserve">III. SCOPE OF APPLICATION OF THE GWB  </w:t>
        <w:br/>
        <w:t xml:space="preserve">14. The merger does not have community-wide significance within the meaning of the FKVO, as the participating companies together do not reach the thresholds of Art. 1 para. 2 and 3 FKVO. Thus, the merger project does not fall within the scope of European merger control. In contrast, the merger project falls within the scope of German merger control. The participating companies meet the requirements of § 35 para. 1 GWB; the de minimis clause according to § 35 para. 2 no. 1 GWB cannot apply to Ulrich Stein GmbH despite revenues below €10 million, as the company is considered an affiliated company within the meaning of this provision.  </w:t>
        <w:br/>
        <w:t xml:space="preserve">15. The project initially constitutes a merger according to § 37 para. 1 no. 3 b GWB (acquisition of shares) in conjunction with sentence 3 of this provision (establishment of a joint venture).  </w:t>
        <w:br/>
        <w:t xml:space="preserve">16. Furthermore, it can be assumed that the participating companies jointly control the joint venture HHLA-FKZ. This results from the following: The parties have submitted a draft of the articles of association and a Shareholders’ Agreement. According to this, the decision-making is jointly determined – that is, parity-based. Article 5 of the Shareholders’ Agreement stipulates a parity composition of the supervisory board, which must determine all significant decisions (this includes both the approval of the business plan and the approval of the acquisition, sale of business units, etc.). § 9 of the draft articles of association provides that the voting result on these decisions is to be made by simple majority. In the event of a tie, the vote of the chairman is decisive. This chairman is appointed by HHLA according to the provisions of the Shareholders’ Agreement. Thus, the minority shareholder would formally have no opportunity to assert a veto. However, the strong financial commitment of the Sea-Invest Group in Hamburg suggests a co-determining influence. Furthermore, the corporate agreements4 provide for a certain obligation to reach consensus on the most important issues of business policy, so that a joint business policy aligned with common interests seems to be ensured. In this respect, the assumption of a merger situation according to § 37 para. 1 no. 2 GWB in the sense of acquiring joint control is to be agreed upon.  </w:t>
        <w:br/>
        <w:t xml:space="preserve">17. Should the approval for the purchase of the intangible assets listed in Annex 2 of the purchase agreement (Annex 6 of the notification, letter dated September 27, 2004) be granted by the Free and Hanseatic City of Hamburg before the expiration of the main review period, the merger situation of § 37 para. 1 no. 1 GWB (acquisition of assets) would also be fulfilled. Since the acquisition of the assets under certain circumstances5 has consequences in terms of the linkage clause of § 36 para. 2 GWB, this fact is already taken into account in the material assessment. Should the purchase approval occur after the clearance decision, no new notification will be required in this regard.  </w:t>
        <w:br/>
        <w:t xml:space="preserve">18. HHLA FKZ is also engaged in the handling of pyrotechnic materials (fireworks). The company handled a volume of [...] t in 2003, achieving revenues of nearly [...] €. The participating companies credibly stated in a letter dated December 10, 2004, that the handling of pyrotechnic materials – when defined as a materially independent market and spatially limited to the territory of the Federal Republic – constitutes a minor market according to § 35 para. 2 no. 2 GWB, as revenues of less than €15 million were generated there in 2003 according to their own estimates.  </w:t>
        <w:br/>
        <w:t xml:space="preserve">4 dead lock clause, Art. 5.4. d. Shareholders’ Agreement  </w:t>
        <w:br/>
        <w:t>5 Ruppelt in Langen/Bunte: Kommentar zum deutschen und europäischen Kartellrecht, 9. Aufl. § 36 Tz. 6</w:t>
      </w:r>
    </w:p>
    <w:p>
      <w:r>
        <w:rPr>
          <w:b/>
        </w:rPr>
        <w:t>[Pages 7–9]</w:t>
      </w:r>
    </w:p>
    <w:p>
      <w:r>
        <w:t xml:space="preserve">7  </w:t>
        <w:br/>
        <w:t xml:space="preserve">The decision-making department has no information that would raise doubts about this.  </w:t>
        <w:br/>
        <w:t xml:space="preserve">IV. COMPETITIVE ASSESSMENT  </w:t>
        <w:br/>
        <w:t xml:space="preserve">19. In the relevant product and geographic markets, the merger does not lead to a competitively concerning deterioration of the existing market conditions, despite the high market shares of the parties involved. Therefore, the decision-making department considers the prohibition requirements of § 36 Abs. 1 GWB to be unmet. The following reasons are decisive:  </w:t>
        <w:br/>
        <w:t xml:space="preserve">Product and Geographic Market Definition  </w:t>
        <w:br/>
        <w:t xml:space="preserve">20. The merger project concerns the areas of goods handling and freight transport. In accordance with the merger control decisions of the Commission in comparable cases, the decision-making department has also consistently defined the markets on a case-by-case basis and in relation to the notified project6.  </w:t>
        <w:br/>
        <w:t xml:space="preserve">1. Goods Handling in Seaports  </w:t>
        <w:br/>
        <w:t xml:space="preserve">21. The area of goods handling affected here is the handling of goods in seaports. This includes all land-side services in seaports related to the loading and unloading and interim storage of goods. This market can be further differentiated into separate markets for different types of goods. Typically, a distinction is made between general cargo, liquid goods, and dry bulk goods. Dry bulk goods are ores, wood, steel, sheets, or pipes that are calculated by weight. The calculation of liquid goods is accordingly based on volume. The handling of general cargo occurs either in containers or in other loading units packaged loosely (pallets, break-bulk), with the latter also referred to as "conventional general cargo." Due to these distinctions, it is reasonable to assume separate markets for the various types of goods.  </w:t>
        <w:br/>
        <w:t>6 Federal Cartel Office: Activity Report 2001/2003, p. 193 et seq.</w:t>
      </w:r>
    </w:p>
    <w:p>
      <w:r>
        <w:t xml:space="preserve">8  </w:t>
        <w:br/>
        <w:t xml:space="preserve">22. The companies involved in the merger (BNFW, HHLA FKZ, Ulrich Stein GmbH) are all active in the field of fruit handling or fruit transport. According to the parties involved, fruits are to be classified under general cargo. However, the decision-making department, based on the questioning of competitors, maritime associations, and the market counterpart, is of the opinion that a more specific market delineation should be made in this case, for the following reasons:  </w:t>
        <w:br/>
        <w:t xml:space="preserve">23. The majority of fruit imports currently take place using specialized refrigerated ships. In this process, bananas are still predominantly transported and handled as conventional general cargo. Most other fruits (especially apples, oranges, kiwis, melons, etc.) are increasingly being transported and handled in containers. When handling containerized fruits, there are two possibilities: either the fruits are unloaded from the containers and taken to cold storage to be further transshipped to other transport carriers and transported to their destination. However, fruits can also be transported in refrigerated containers by sea and directly transshipped from the ship to the transport carriers. This "terminal throughput" is also referred to as "hinterland traffic"7. Another possibility is the transshipment from the ship to another (smaller) ship to serve smaller ports with fruit terminals in feeder traffic (transshipment traffic). Fruits in refrigerated containers can also be transported with regular container ships. However, fruit importers still primarily rely on large refrigerated ships, as these exclusively call at fruit terminal ports, whereas regular container ships also unload their cargo in other ports.  </w:t>
        <w:br/>
        <w:t xml:space="preserve">24. According to the findings of the decision-making department, both fruit handling and the transport of fruits require a special infrastructure. The ships that bring fruits from overseas to Europe only dock at ports that have the infrastructure for fruit handling. Fruits must also be handled more quickly than other general cargo due to their perishability; they are therefore stored in special fruit warehouses or transshipped to specially temperature-controlled container trains. Compliance with a specific temperature chain (7 to 12 degrees) is particularly important for bananas. When fruits are handled on pallets or as break-bulk (loose packaged), special cranes or conveyor belts are also required. However, the storage of fruits differs due to their perishability from the storage of other general cargo (e.g., electronic devices). These facts support the assumption of a separate market for fruit handling in seaports. In this regard, it seems reasonable to the decision-making department to attribute the entire fruit handling—both conventionally loaded and container-loaded fruits—to this market.  </w:t>
        <w:br/>
        <w:t xml:space="preserve">25. The decision-making department cannot follow the parties' view of classifying fruit handling—both conventional and in containers—as general cargo handling for the reasons mentioned above. Even if container-loaded fruits, unlike bananas, do not have to remain in a cold chain, conditions must still exist that account for the storage and transport of perishable foodstuffs. These conditions are not required for the storage and transport of non-perishable general cargo. Furthermore, the Sea-Invest Group has indicated that it intends to make significant investments in the area of fruit handling in Hamburg. The group would not make these investments if fruit handling did not have or would not have an economically independent significance.  </w:t>
        <w:br/>
        <w:t xml:space="preserve">2. Geographic Market Definition  </w:t>
        <w:br/>
        <w:t xml:space="preserve">26. The relevant geographic market is to be defined as the "Hamburg-Le Havre Range" or "North Range," as the majority of fruit handling for the northwestern European hinterland is processed through the ports of Le Havre – Dieppe – Dunkirk – Zeebrugge – Antwerp – Vlissingen – Rotterdam – Bremerhaven – Hamburg. The ports of Gdansk and Gdynia located on the Baltic Sea, which are also active in fruit handling, are currently considered unsuitable by importers due to poorly developed infrastructure and poor hinterland connections. However, this is expected to change in the near future, as since the EU accession, the Polish government, with the support of the EU, has invested significant funds in the expansion of its seaports and hinterland transport connections.8 In this respect, these ports will also gain attractiveness as alternative ports for fruit importers in the foreseeable future, as they can serve the same central European hinterland as the Hamburg location.  </w:t>
        <w:br/>
        <w:t xml:space="preserve">3. Freight Transport – Freight Forwarding Services  </w:t>
        <w:br/>
        <w:t xml:space="preserve">27. Furthermore, the project concerns the area of freight forwarding services. This includes the dispatch of goods and all services related to the organization of their transport. This particularly includes the  </w:t>
        <w:br/>
        <w:t>8 German Transport Newspaper No. 134 of November 11, 2004, p. 15</w:t>
      </w:r>
    </w:p>
    <w:p>
      <w:r>
        <w:rPr>
          <w:b/>
        </w:rPr>
        <w:t>[Pages 10–12]</w:t>
      </w:r>
    </w:p>
    <w:p>
      <w:r>
        <w:t xml:space="preserve">10  </w:t>
        <w:br/>
        <w:t xml:space="preserve">determination of the means of transport, the selection of executing contractors, the securing of claims for damages of the sender, and the execution of further services such as insurance, packaging, and customs handling of the goods to be sent.  </w:t>
        <w:br/>
        <w:t xml:space="preserve">28. The present merger project concerns forwarding services for perishable goods. Forwarding services for perishable foodstuffs are to be assigned to a separate market, as special means of transport and storage facilities are required for the transport and interim storage, which in turn cannot be used for the forwarding of other goods. Spatially, this market is delineated nationwide according to the consistent practice of the decision-making department.  </w:t>
        <w:br/>
        <w:t xml:space="preserve">A. Competitive conditions in the relevant market for fruit handling in the North Range seaports  </w:t>
        <w:br/>
        <w:t xml:space="preserve">29. In the North Range ports, fruit handling services are not offered everywhere. Moreover, there are only a few ports where two providers of fruit handling services can operate profitably. This results in the following market conditions in the area of conventional fruit handling in the Le Havre-Hamburg Range9 (indicated in 1000 t):  </w:t>
        <w:br/>
        <w:t>9 Source: Annex 9 of the application dated August 31, 2004, letter dated October 29, 2004</w:t>
      </w:r>
    </w:p>
    <w:p>
      <w:r>
        <w:t xml:space="preserve">11  </w:t>
        <w:br/>
        <w:t xml:space="preserve">HH Bremer Rotter Vlis- Ant- Zee- Dun- Dieppe Le Rouen All  </w:t>
        <w:br/>
        <w:t xml:space="preserve">haven dam sin- werpen brugge kerque Havre ports  </w:t>
        <w:br/>
        <w:t xml:space="preserve">gen  </w:t>
        <w:br/>
        <w:t xml:space="preserve">HHL3A2 4F6K5Z [...] [500-  </w:t>
        <w:br/>
        <w:t xml:space="preserve">1,500]  </w:t>
        <w:br/>
        <w:t xml:space="preserve">Seabrex [...] [...] [1,000  </w:t>
        <w:br/>
        <w:t xml:space="preserve">-  </w:t>
        <w:br/>
        <w:t xml:space="preserve">2,000]  </w:t>
        <w:br/>
        <w:t xml:space="preserve">B.N.F.W [...] [...] [1,000  </w:t>
        <w:br/>
        <w:t xml:space="preserve">-  </w:t>
        <w:br/>
        <w:t xml:space="preserve">2,000]  </w:t>
        <w:br/>
        <w:t xml:space="preserve">Hesse [...] [500-  </w:t>
        <w:br/>
        <w:t xml:space="preserve">1,000]  </w:t>
        <w:br/>
        <w:t xml:space="preserve">Natie  </w:t>
        <w:br/>
        <w:t xml:space="preserve">CTO [...] [0-  </w:t>
        <w:br/>
        <w:t xml:space="preserve">100]  </w:t>
        <w:br/>
        <w:t xml:space="preserve">Dun- […] [0-  </w:t>
        <w:br/>
        <w:t xml:space="preserve">fresh 1,000]  </w:t>
        <w:br/>
        <w:t xml:space="preserve">Klooster- [...] [...] [0-  </w:t>
        <w:br/>
        <w:t xml:space="preserve">boer 500]  </w:t>
        <w:br/>
        <w:t xml:space="preserve">Van Bon [...] [0-  </w:t>
        <w:br/>
        <w:t xml:space="preserve">100]  </w:t>
        <w:br/>
        <w:t xml:space="preserve">Leon Vin- [...] [0-  </w:t>
        <w:br/>
        <w:t xml:space="preserve">cent 500]  </w:t>
        <w:br/>
        <w:t xml:space="preserve">Others [...] [...] [0-  </w:t>
        <w:br/>
        <w:t xml:space="preserve">500]  </w:t>
        <w:br/>
        <w:t xml:space="preserve">5,142  </w:t>
        <w:br/>
        <w:t xml:space="preserve">Total [500- [0- [500- [0- [1,500 [0-500] [0- [0-500] [0-500] [0-  </w:t>
        <w:br/>
        <w:t xml:space="preserve">1,500] 1,000] 1,500] 500] - 1,000] 100]  </w:t>
        <w:br/>
        <w:t>2,500]</w:t>
      </w:r>
    </w:p>
    <w:p>
      <w:r>
        <w:t xml:space="preserve">12  </w:t>
        <w:br/>
        <w:t xml:space="preserve">30. Including the Polish ports, the following picture emerges:  </w:t>
        <w:br/>
        <w:t xml:space="preserve">Gdansk: 150,000 t (other operators)  </w:t>
        <w:br/>
        <w:t xml:space="preserve">Gdynia: 50,000 t (other operators)  </w:t>
        <w:br/>
        <w:t xml:space="preserve">Total volume: 5,342,000 t.  </w:t>
        <w:br/>
        <w:t xml:space="preserve">These fruit handling ports can, according to the parties involved and the competitors, be described as areas where "the competitive conditions are sufficiently homogeneous and differ from neighboring areas by noticeably different competitive conditions"10: The homogeneous competitive conditions also target, among other things, the possibilities of hinterland connections.  </w:t>
        <w:br/>
        <w:t xml:space="preserve">31. Assuming the linkage clause of § 36 para. 2 GWB (see para. 33), this results in a market share for the joint venture of [35-45]% (including the acquisition of Leon Vincent: [35-45]%). For the spatially relevant market expanded to include the Baltic Sea ports, the joint venture reaches a market share of [35-45]% (or [35-45]%). The next strongest competitor is the Seabrex Group (Bremerhaven, MA [...]%), which acquired the previously fruit handling and fruit distribution active Heuer Internationale Speditions-Gesellschaft in Bremerhaven in 200211. The third strongest competitor is the Belgian Hesse Noord Natie operating in Antwerp (MA: [...]%), which belongs to PSA Corporation, Singapore12.  </w:t>
        <w:br/>
        <w:t xml:space="preserve">Expected competitive effects on the relevant market considering future market conditions:  </w:t>
        <w:br/>
        <w:t xml:space="preserve">32. The substantive examination of what effects are to be expected from the corporate connection of the involved companies on their market position in the sense of § 36 para. 1 GWB has shown that the joint venture does not gain any leeway that could sustainably impair the competitive conditions in the relevant markets.  </w:t>
        <w:br/>
        <w:t xml:space="preserve">33. If – as in the present case – a company acquires shares in a competing company that gives it the possibility of joint control over  </w:t>
        <w:br/>
        <w:t xml:space="preserve">10 Communication from the Commission on the definition of the (spatially) relevant market within the meaning of Community competition law, OJ No. C 372 of December 9, 1997, p. 5, para. 8  </w:t>
        <w:br/>
        <w:t xml:space="preserve">11 B 9 –30/03-003, application was not subject to merger control due to revenues of Heuer  </w:t>
        <w:br/>
        <w:t>12 PSA is, according to the parties involved, one of the largest port operators worldwide with an annual turnover of approximately [...] million €</w:t>
      </w:r>
    </w:p>
    <w:p>
      <w:r>
        <w:rPr>
          <w:b/>
        </w:rPr>
        <w:t>[Pages 13–15]</w:t>
      </w:r>
    </w:p>
    <w:p>
      <w:r>
        <w:t xml:space="preserve">13  </w:t>
        <w:br/>
        <w:t xml:space="preserve">this company opens up, it generally has competition-relevant effects13. The competitive relationship between them is abolished, or at least restricted. This also limits the alternatives available to the market counterpart. Specifically, this means that for fruit importers, the Port of Hamburg does not represent an alternative to Antwerp, Dieppe, and Zeebrugge within the North Range. In this respect, it seems justified to attribute the resources of the companies involved in the merger to the joint venture. While they fulfill the presumption of market dominance ([35-45]% or [35-45]% market share), this is, in the opinion of the decision-making department, rebutted.  </w:t>
        <w:br/>
        <w:t xml:space="preserve">34. The main players in the international fruit trade in Europe are the marketing organizations of the producing countries or the large fruit trading companies that are based in the respective ports and negotiate the handling and storage tariffs annually with the operating companies. The choice of ports is usually made by the marketing organizations in the producing countries. The port operators offering fruit handling are in competition with each other for these large organizations (producers). The interest of the port operating companies primarily lies in the utilization of the facilities for unloading and storing the fruits. In addition to the quality and quantity of the offer (infrastructure, capacity, handling speed, storage volume), a (cost-)effective connection for hinterland traffic is particularly important for the market counterpart (the producers). Since the sea route is cheaper compared to land transport, the location factor and the expansion of the hinterland transport structure in fruit handling are considered a particular competitive advantage. The decision of the market counterpart regarding which port and which port company to choose is therefore of great importance to the port operators. This results in a strong position for the demand side.  </w:t>
        <w:br/>
        <w:t xml:space="preserve">35. It can be assumed that the Free and Hanseatic City of Hamburg, as a shareholder of the joint venture, has no interest in losing customers at the Hamburg location. Since the market counterpart is in a strong position, there will be little room for an abusive exploitation of the market position of the joint venture towards customers. An uncontrolled negotiation leeway towards competitors cannot be assumed either, as the Heuer Group, based in Bremerhaven and a subsidiary of the Ebrex Group Rotterdam, as well as Hesse-Nord Naatie, which belongs to PSA Corporation Singapore and is based in the Port of Antwerp, are also strongly represented in fruit handling and serve as alternatives for the market counterpart.  </w:t>
        <w:br/>
        <w:t xml:space="preserve">36. The market investigation by the decision-making department also extended to the question of potential competitors in the Port of Hamburg. The parties involved stated that the current demand in the hinterland does not provide sufficient utilization for a second provider of fruit handling services at the Hamburg location. The Gerd Buss Warehousing and Freight Forwarding Company operated a second fruit terminal at O’Swaldkai when there was initially strong demand for exotic fruits from the eastern federal states and neighboring countries after the political turnaround, but had to abandon it in 1993 due to lack of utilization. The fruit business was then taken over by HHLA. This takeover did not raise any antitrust concerns at that time14.  </w:t>
        <w:br/>
        <w:t xml:space="preserve">37. The import of fruits from the producing countries into the EU is also a regulated market. The trade in fruits and (separately) bananas in the EU member states is subject to a strict regime of export licenses from the producing countries as well as quantitative restrictions imposed by the Commission. For bananas - which represent the largest handling share in the Port of Hamburg - customs quota quantities are specified, which are allocated to market participants according to certain rules. Market regulation is governed by various regulations that are adjusted at different intervals (annually, biennially)15. With regard to potential competitors in the field of fruit handling, these measures have a rather hindering effect.  </w:t>
        <w:br/>
        <w:t xml:space="preserve">38. Joint ventures can have competition-restricting effects on the behavior between the parent companies, insofar as they are in current or potential competition with each other in the market of the joint venture or in third markets (group effect)16. The Sea-Invest Group is primarily engaged in the handling of bulk goods and liquids in Belgium and France. This is also evident from the market investigations of the French competition authority in the case "Sea-Invest/Sogema17. HHLA is a universal provider of container, fruit, bulk, and automobile handling services. The focus is particularly on container handling in Hamburg, especially after the expansion of the Altenwerder container port18. Since the decision-making department considers bulk handling and container handling as separate markets, a coordinated behavior in third markets cannot be easily derived in this respect. Although there are overlaps in the area of general cargo handling, these lead to a low joint market share of approximately [5-15]% across the entire North Range.  </w:t>
        <w:br/>
        <w:t xml:space="preserve">39. A competition-relevant leeway for the parties involved can particularly be denied with regard to the expected market conditions of the relevant market. Since merger control requires a dynamic consideration with respect to potential alternatives19, the Polish ports of Gdansk and Gdynia will also need to be included in the spatial market delineation in the future. Even today, at least a certain degree of substitution competition can be assumed. Following the announced and partially completed improvements to the infrastructure, these two ports, both offering fruit handling services, will also contribute to an improvement in the competitive situation in the other fruit handling terminals of the Le Havre-Hamburg Range. Furthermore, the Polish government intends to establish another fruit terminal at the location of Szczecin in cooperation with the Norwegian refrigerated transport company and terminal operator Green Reefers ASA20. Szczecin will thus become the nearest seaport with its own fruit terminal to the metropolitan area of Berlin.  </w:t>
        <w:br/>
        <w:t xml:space="preserve">40. The development and expansion of fruit terminals in Eastern European seaports demonstrate that they will play an increasingly significant role in supplying the Central European hinterland with fruits. Furthermore, it becomes clear that the accession of Eastern European countries to the EU has so far facilitated access for potential competitors such as Green Reefers ASA, which currently do not operate any fruit terminals in the North Range. Since the hinterland served by the German seaports of Bremerhaven and Hamburg largely overlaps with the hinterland served by the Polish seaports, it can be assumed that especially the ports of Bremerhaven and Hamburg will be exposed to increasing competitive and price pressure from the Polish ports. Therefore, the leeway for price increases at HHLA FKZ will remain limited after the merger is completed. The decision-making department is not aware of any participation of Sea-Invest in any of the three Polish ports.  </w:t>
        <w:br/>
        <w:t xml:space="preserve">18 B 9 – 5/02  </w:t>
        <w:br/>
        <w:t xml:space="preserve">19 Ruppelt in Langen/Bunte, Kommentar § 36 Rn 19  </w:t>
        <w:br/>
        <w:t>20 www.odraport.com.pl, www.greenrefers.no</w:t>
      </w:r>
    </w:p>
    <w:p>
      <w:r>
        <w:rPr>
          <w:b/>
        </w:rPr>
        <w:t>[Pages 16–18]</w:t>
      </w:r>
    </w:p>
    <w:p>
      <w:r>
        <w:t xml:space="preserve">16  </w:t>
        <w:br/>
        <w:t xml:space="preserve">41. Despite reaching the threshold of the presumption of market dominance by the Sea-Invest Group, the decision-making department expects sufficient competition in the future, taking into account a forward-looking structural analysis.  </w:t>
        <w:br/>
        <w:t xml:space="preserve">Results of the survey of competitors and associations as well as the market counterpart (producers)  </w:t>
        <w:br/>
        <w:t xml:space="preserve">42. The survey of market participants also revealed no indications for the assumption of the emergence of a dominant market position that could grant the parties in the area of fruit handling in the Hamburg-Le Havre range competitively problematic leeway.  </w:t>
        <w:br/>
        <w:t xml:space="preserve">43. Initially, all respondents confirmed the factual market delineation of the decision-making department. Fruit handling services must be regarded as specific port services. The competitiveness of the operating companies depends, on the one hand, on port capacities, as the global fruit trade is conducted through several large refrigerated shipping companies (including Maersk) that handle correspondingly large capacities. Secondly, the connection to hinterland traffic (rail/road) is a crucial parameter, as fruits are highly perishable goods and cannot be stored for long.  </w:t>
        <w:br/>
        <w:t xml:space="preserve">44. Furthermore, it was confirmed that there is an increasing shift towards container loading in the fruit sector. Bananas are still predominantly transported conventionally – but not exclusively – while exotic fruits are increasingly transported in containers. The decision on whether fruits are transported conventionally or in containers is usually made by the fruit importer. In this context, the possibility of direct onward transport of the fruits to the destination on another mode of transport, such as truck or rail, without prior unloading of the container, speaks in favor of transporting and handling the fruits in containers. The parties substantiate the development and the forecast regarding the future relationship between conventional and containerized fruit transport (and thus handling) based on a survey of the so-called "Drewry Report"21. According to this, a noticeable increase in the share of fruits loaded in containers overall is expected by the year 2010 at the expense of conventional transport (including bananas) (Annex 11, letter dated November 23, 2004). The data in this report refer to the maritime transport of fruits, which precedes the handling. Fruits transported in containers can either continue to be unloaded and handled at a fruit terminal, as operated by HHLA FKZ and BNFW. However, if the fruit importer decides to transport this goods immediately for onward transport without prior unloading, this handling can also be carried out at a container terminal. The parties indicated that there are (still) no secured data on this share of the complete container fruit handling. The quantity of fruit that is not conventionally handled or unloaded from the container, but is transported further in the container, was estimated by the parties, taking into account the data from the Drewry Report, to be approximately 1.2 million tons worldwide. Since the total handling volume of fruits within the North Range is already approximately 5 million tons22, it is evident that the share of fruits transported in containers and unloaded at container terminals is currently still very low, but will noticeably increase during the period set by the Drewry Report. From this, it can be concluded that in the future, fruit transporters will have the option of transporting and handling all types of fruit in containers as an alternative to conventional transport. However, this will increasingly expose the operators of fruit terminals to competitive pressure from container terminal operators.  </w:t>
        <w:br/>
        <w:t xml:space="preserve">Interim result  </w:t>
        <w:br/>
        <w:t xml:space="preserve">45. Through the merger, the participating companies achieve a market share in the spatially and factually relevant market that exceeds the market dominance presumption threshold of § 19 para. 3 sentence 1 GWB of one third. Nevertheless, no market dominance arises that adversely affects competition. Even as a jointly controlling minority shareholder, the Sea-Invest Group is, in the opinion of the decision-making department, not in a position to sustainably restrict competition in the North Range, especially since its influence on the joint venture is limited by the co-control of the Free and Hanseatic City of Hamburg. Furthermore, the providers of fruit handling services in ports face strong demand power from large fruit importers. These can also increasingly resort to alternative fruit handling ports in the Polish seaports through corresponding investment measures both now and in the future. This will need to be taken into greater account in future spatial market delineation. Furthermore, the relationship between conventionally transported fruits is expected to develop in favor of fruits that are transported and handled in containers. If there is a noticeable share of containerized and not unloaded fruit volume in the currently conventionally handled fruit volume, the decision-making department will also have to consider competition in container handling services in the future. This change in market conditions, which is expected with sufficient probability, significantly relativizes the competitive effects of the currently established market position of the participating companies, according to the opinion of the decision-making department.  </w:t>
        <w:br/>
        <w:t xml:space="preserve">B. Competitive conditions in the relevant market for freight forwarding services for perishable goods  </w:t>
        <w:br/>
        <w:t xml:space="preserve">46. Freight forwarding services are directly linked to maritime cargo handling in the logistics chain. This achieves a greater depth of service in the relevant area of fruit handling for the customers of the fruit center, the fruit importers, and marketing organizations. Special refrigerated vehicles are required for transport, which differ from frozen transporters by a temperature range of 0 to 7 degrees. Freight forwarding services in fruit transport are assigned to the area of contract logistics, as they usually involve fixed delivery relationships between importers and marketing organizations.  </w:t>
        <w:br/>
        <w:t xml:space="preserve">47. As stated in para. 8, Ulrich Stein GmbH is almost exclusively engaged in organizing refrigerated transport. This relates to perishable goods that must be stored and transported at temperatures above freezing (especially fruits and vegetables). Whether this type of refrigerated transport constitutes its own market or belongs to the same market as frozen transport, which transports perishable goods below zero degrees, can remain open, as there is neither the emergence nor the strengthening of a dominant market position in this area due to market conditions.  </w:t>
        <w:br/>
        <w:t>48. In para. 28, the market for freight forwarding services is spatially delineated to the territory of the Federal Republic. The handling volume in the nationwide market for freight forwarding services for perishable goods was estimated by the participating companies in 2003 to be approximately 8 million tons. Of this, approximately [...] tons in total and approximately [...] tons within Germany were attributed to Ulrich Stein GmbH. This corresponds to a market share of [0-10]%. Taking the revenue volume as a measure, a total market volume for food logistics of €13 billion nationwide can be assumed23. Of this, 25% - thus</w:t>
      </w:r>
    </w:p>
    <w:p>
      <w:r>
        <w:rPr>
          <w:b/>
        </w:rPr>
        <w:t>[Pages 19–20]</w:t>
      </w:r>
    </w:p>
    <w:p>
      <w:r>
        <w:t xml:space="preserve">19  </w:t>
        <w:br/>
        <w:t xml:space="preserve">€3.25 billion - in the area of fresh logistics. Of these freight services, only 26% (= €845 million) are outsourced to external providers and are thus competitively relevant. With domestic revenues of [...] million €, Ulrich Stein GmbH achieves a market share of [0-5]%. Stronger competitors in this segment include Danzas Food Transport, Kühne &amp; Nagel International AG, Frigotransit, Dachser Food Logistics, and also Heuer-Spedition based in Bremerhaven, which focuses on the organization and further transport of bananas and other fruits that are handled in Bremerhaven and Hamburg. Since BNFW and the companies associated with it are not active in the freight forwarding or logistics business with perishable foodstuffs in Germany, the merger does not result in an addition of market shares.  </w:t>
        <w:br/>
        <w:t xml:space="preserve">C. Examination under § 1 GWB  </w:t>
        <w:br/>
        <w:t xml:space="preserve">49. According to § 37 para. 1 no. 3 sentence 3 GWB, the establishment of a joint venture constitutes a merger of the parent companies among themselves. It is crucial whether and to what extent the parent companies also coordinate their behaviors in third markets and thereby cease to be active or potential competitors. As outlined in para. 38, this assumption could not be proven for the competitive relationship of the parties in third markets.  </w:t>
        <w:br/>
        <w:t xml:space="preserve">50. However, coordinated behavior in the market of the joint venture must be affirmed. Regarding the competitive relationship between the joint venture on the one hand and the shareholders on the other hand, the joint venture, as a subsidiary, is not to be regarded as a free competitor but is subject to the corporate directives of the parent companies, which - as in this case - prescribe a common behavior in competition within a Shareholders’ Agreement. This is particularly evident through a non-competition clause (Art. 15), which prohibits the participating companies from competing with the joint venture within Germany.  </w:t>
        <w:br/>
        <w:t xml:space="preserve">51. The administrative practice of the Federal Cartel Office considers a coordination of the behavior of the parents to be given - with the consequence of applying § 1 GWB or Art. 81 EC Treaty - when the parent companies and the joint venture remain active in the same factual and geographical market. This is the case here concerning the Sea-Invest Group. [...]  </w:t>
        <w:br/>
        <w:t xml:space="preserve">20  </w:t>
        <w:br/>
        <w:t xml:space="preserve">52. There remains the possibility that the behavior of the parent companies could violate § 1 GWB or Art. 81 EC Treaty. The decision-making department reserves this examination for a separate procedure.  </w:t>
        <w:br/>
        <w:t xml:space="preserve">V. SUMMARY  </w:t>
        <w:br/>
        <w:t xml:space="preserve">53. For the aforementioned reasons, the decision-making department has decided not to prohibit the notified merger project. This order is issued pursuant to § 40 para. 2 sentence 1 GWB.  </w:t>
        <w:br/>
        <w:t xml:space="preserve">VI. FEES  </w:t>
        <w:br/>
        <w:t xml:space="preserve">54. [...]  </w:t>
        <w:br/>
        <w:t xml:space="preserve">55. [...]  </w:t>
        <w:br/>
        <w:t xml:space="preserve">56. [...]  </w:t>
        <w:br/>
        <w:t xml:space="preserve">57. [...]  </w:t>
        <w:br/>
        <w:t xml:space="preserve">VII. INSTRUCTION ON LEGAL REMEDIES  </w:t>
        <w:br/>
        <w:t xml:space="preserve">An appeal against this decision is permissible. It must be submitted in writing within a period of one month starting from the delivery of the decision to the decision-making department, Kaiser-Friedrich-Straße 16, 53113 Bonn. However, it is sufficient if it is received within this period by the appellate court, the Higher Regional Court of Düsseldorf.  </w:t>
        <w:br/>
        <w:t xml:space="preserve">The appeal must be substantiated. The deadline for the appeal's justification is one month. It begins with the filing of the appeal and can be extended upon request by the presiding judge of the appellate court. The appeal justification must contain the statement of the extent to which the decision is being contested and the request for its amendment or annulment, and must specify the facts and evidence on which the appeal is based.  </w:t>
        <w:br/>
        <w:t xml:space="preserve">The appeal and the appeal justification must be signed by a lawyer admitted to a German court.  </w:t>
        <w:br/>
        <w:t>Dr. Ruppelt Hauß zu Solms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