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http://www.bundeskartellamt.de/SharedDocs/Entscheidung/DE/Fallberichte/Fusionskontrolle/2015/B9-124-15.pdf;jsessionid=9054AE9D55A7AC259469EA6E95A7ACBA.2_cid371?__blob=publicationFile&amp;v=5</w:t>
      </w:r>
    </w:p>
    <w:p>
      <w:r>
        <w:t>Pages translated : 3</w:t>
      </w:r>
    </w:p>
    <w:p/>
    <w:p>
      <w:r>
        <w:rPr>
          <w:b/>
        </w:rPr>
        <w:t>[Pages 1–3]</w:t>
      </w:r>
    </w:p>
    <w:p>
      <w:r>
        <w:t xml:space="preserve">Case Report September 30, 2015  </w:t>
        <w:br/>
        <w:t xml:space="preserve">Approval of the acquisition of junited AUTOGLAS by Carglass  </w:t>
        <w:br/>
        <w:t xml:space="preserve">Industry: Repair and replacement of vehicle glass  </w:t>
        <w:br/>
        <w:t xml:space="preserve">File Number: B 9 – 124/15  </w:t>
        <w:br/>
        <w:t>Date of Decision: September 16, 2015</w:t>
      </w:r>
    </w:p>
    <w:p>
      <w:r>
        <w:t>The Federal Cartel Office has approved the acquisition of the junited AUTOGLAS network as well as three individual vehicle glass workshops by Belron GmbH ("Belron"), the parent company of Carglass GmbH ("Carglass"), in the preliminary examination procedure. A significant hindrance to effective competition is not expected. Even when assuming narrow geographic markets, the behavioral leeway of the merging parties remains sufficiently limited.</w:t>
      </w:r>
    </w:p>
    <w:p>
      <w:r>
        <w:t>The merger project concerns the area of "repair and replacement of vehicle glass." Carglass operates as the largest vehicle glass specialist in Germany in the affected market with a total of 330 locations and approximately 350 mobile service units. The target company junited is the owner of the word/image trademark "junited Autoglas," under which around 230 independent workshops form a nationwide network and also offer the repair and replacement of vehicle glass.</w:t>
      </w:r>
    </w:p>
    <w:p>
      <w:r>
        <w:t>In the course of the case investigations, the Federal Cartel Office held discussions with suppliers and competitors of the merging parties. Additionally, information and data on glass damage cases were collected from the largest car insurers in Germany, which were used for the analysis of the market position of the parties involved.</w:t>
      </w:r>
    </w:p>
    <w:p>
      <w:r>
        <w:t>Regarding the relevant market definition, the Federal Cartel Office assumes a common market for the repair and replacement of vehicle glass. On the one hand, it is not (always) immediately apparent to the end customer whether a glass damage is repairable or requires the replacement of the entire pane. The decision in this regard is usually made only directly at the glass repair company approached by the customer. On the other hand, all providers offer both glass repairs and replacements, which is why there is no differentiation from the end customer's perspective when choosing the repair company. The question of whether the areas "passenger cars" and "other vehicles" represent separate markets or whether a single overall market should be assumed was ultimately not relevant to the decision and could therefore be left open.</w:t>
      </w:r>
    </w:p>
    <w:p>
      <w:r>
        <w:t>Similarly, the precise geographic market delineation was not decisive for the clearance in this case. The evaluations of the collected data and queried information suggested that none of the potential geographic market delineations would result in competitively concerning market positions by the parties involved. In this context, the Federal Cartel Office determined the market shares of the parties involved both at the national level and when considering narrower regional markets. The focus of the regional analysis particularly included areas with high branch density as well as geographic overlaps between the merging parties. The reach of the mobile service vehicles of the glass repairers was also taken into account.</w:t>
      </w:r>
    </w:p>
    <w:p>
      <w:r>
        <w:t>In all examined markets, the combined market shares of the merging parties, based on revenue figures, were less than 40% and thus below the presumption threshold for market dominance; in some of the affected regional markets, they were also considered minor markets. In addition to the merging parties, other glass specialists such as "Wintec" and "Scheibendoktor," as well as independent workshop chains like "ATU" and "Pitstop," are active in the affected markets. Furthermore, despite the high brand awareness of Carglass, a large portion of vehicle owners still have glass damages repaired by the comparatively more expensive authorized workshops of various automobile manufacturers. In this regard, it should be noted that approximately 75% of vehicle owners have comprehensive insurance and therefore do not bear the costs for the repair of glass damage themselves (or only up to the deductible). For this reason, price plays only a subordinate role at the end customer level when selecting the glass repair company.</w:t>
      </w:r>
    </w:p>
    <w:p>
      <w:r>
        <w:t>Moreover, the investigations provided further indications that the merger would not lead to a significant hindrance to effective competition. On the one hand, the position of car insurers in the glass damage market is noteworthy. Due to the high proportion of comprehensive insurance, insurers enter into central framework agreements with glass repair companies in the area of vehicle glass damage cases. The subject of these cooperation contracts includes, among other things, hourly billing rates, material prices, and services for the insured. Additionally, car insurers have a certain share of customers who can be specifically directed to selected glass repair companies due to workshop binding contracts and/or through telephone recommendations. In this way, insurers can negotiate better conditions in the negotiations over framework contracts or set limits on the behavioral leeway of glass repair companies.</w:t>
      </w:r>
    </w:p>
    <w:p>
      <w:r>
        <w:t>On the other hand, there are no significant barriers to entry for potential competitors at the regional level. Unlike in the general automotive sector, it is possible to operate in the vehicle glass sector without a master craftsman examination. In addition to basic assembly knowledge, knowledge in the area of (to be calibrated) driver assistance systems is required, which can be acquired through training. Furthermore, the costs of market entry are relatively low, as no expensive special tools such as lifts are required.</w:t>
      </w:r>
    </w:p>
    <w:p>
      <w:r>
        <w:t>In the overall consideration, it was therefore not expected that the merger would lead to a significant hindrance to effective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