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https://www.bundeskartellamt.de/SharedDocs/Entscheidung/DE/Fallberichte/Fusionskontrolle/2018/B9-124-17.pdf?__blob=publicationFile&amp;v=2</w:t>
      </w:r>
    </w:p>
    <w:p>
      <w:r>
        <w:t>Pages translated : 5</w:t>
      </w:r>
    </w:p>
    <w:p/>
    <w:p>
      <w:r>
        <w:rPr>
          <w:b/>
        </w:rPr>
        <w:t>[Pages 1–3]</w:t>
      </w:r>
    </w:p>
    <w:p>
      <w:r>
        <w:t>1</w:t>
        <w:br/>
        <w:t>Case Report April 23, 2018</w:t>
        <w:br/>
        <w:t>Approval with Conditions of the Merger of the Wagon Lessors VTG and CIT (Nacco)</w:t>
        <w:br/>
        <w:t>Industry: Rental of Freight Wagons</w:t>
        <w:br/>
        <w:t>File Number: B9-124/17</w:t>
        <w:br/>
        <w:t>Date of Decision: March 21, 2018</w:t>
        <w:br/>
        <w:t>The Federal Cartel Office has approved the acquisition of CIT Rail Holdings (Europe) S.A.S. (“CIT”) by VTG Rail Assets GmbH (a subsidiary of VTG AG, Hamburg, “VTG”) in the main examination procedure with conditions. In its unchanged form, the merger would have significantly impeded effective competition in the two affected markets for the rental of tank wagons and for the rental of dry goods wagons in the European Economic Area (“EEA”) and would have established a dominant position for VTG. To avert a prohibition, the merger parties offered to sell the entire business of the German and Luxembourg subsidiary of the target company to an independent acquirer before the execution. The subject of the sale represents a significant part of the competitive potential of the target company. Among other things, the suitability of the specific acquirer is the subject of the Federal Cartel Office's examination of compliance with the conditions.</w:t>
      </w:r>
    </w:p>
    <w:p>
      <w:r>
        <w:t>The companies involved in the merger, VTG and CIT, are active throughout Europe, among other areas, in the rental of railway freight wagons. The target company CIT is known under the brand “Nacco.” Renters of these railway freight wagons are large industrial customers, logistics service providers, but also railway transport companies (“EVU,” e.g., Deutsche Bahn, SNCF, etc.). Industrial customers usually rent railway freight wagons over a multi-year period to provide the associated logistics and scheduling services themselves. For the actual rail transport, they purchase corresponding traction services (i.e., pulling by a locomotive) separately. EVUs and logistics service providers typically rent railway freight wagons to offer their customers a so-called integrated transport service. In particular, the</w:t>
      </w:r>
    </w:p>
    <w:p>
      <w:r>
        <w:t>2</w:t>
        <w:br/>
        <w:t>European state railways also have a large stock of their own wagons for this purpose. However, they practically do not own any tank wagons for liquid and gaseous goods. They almost always have to rent these when offering customers an integrated transport service.</w:t>
      </w:r>
    </w:p>
    <w:p>
      <w:r>
        <w:t>The Federal Cartel Office determined in its investigations that the merger project affects two materially relevant markets, namely the market for the rental of tank wagons and the market for the rental of dry goods wagons. The latter includes all goods wagons that are not classified as tank wagons. In the context of defining the relevant market, it was particularly necessary to decide the relationship between the isolated rental of wagons and the purchase of an integrated transport service from the customer's perspective. The investigations revealed that separate markets should be assumed in this regard.</w:t>
      </w:r>
    </w:p>
    <w:p>
      <w:r>
        <w:t>If the rental customers are EVUs or logistics companies, the rental of wagons constitutes a preceding market. To the extent that they cannot provide transport services with their own material, they rely on the isolated rental of wagons. Only for industrial customers does the question arise as to whether they organize their transport needs through the isolated rental of wagons or purchase an integrated transport service for this purpose.</w:t>
      </w:r>
    </w:p>
    <w:p>
      <w:r>
        <w:t>The investigations revealed that the options for industrial customers to switch between these alternatives are too limited to assume a single materially relevant market. Rather, only substitution competition should be assumed in this regard. These findings are based on the statements of industrial customers, according to which decisions are usually made in the long term regarding which specific transport needs are met with which “model.” The isolated rental of wagons is usually based on certain logistical prerequisites (e.g., regarding loading infrastructure or the presence of their own logistics departments in the companies). Accordingly, the share of transport needs that industrial customers could have fulfilled in the short term by purchasing an integrated transport service instead of through the isolated rental of wagons, considering economic considerations, is very low. It would therefore be misguided to include the wagon stock of the state railways—which is practically only used by them and not rented out in isolation—in the rental markets. The in-depth investigations in the present case have made this aspect clearer than was possible in the context of the preliminary examination of a previous case (see the case report1 on</w:t>
      </w:r>
    </w:p>
    <w:p>
      <w:r>
        <w:t>1 https://www.bundeskartellamt.de/SharedDocs/Entscheidung/DE/Fallberichte/Fusionskontrolle/2015/B9-154-14.html</w:t>
      </w:r>
    </w:p>
    <w:p>
      <w:r>
        <w:t>3</w:t>
        <w:br/>
        <w:t>the website of the Federal Cartel Office regarding the clearance of the acquisition of Ahaus-Alstätter Eisenbahn Holding AG by VTG in 2015).</w:t>
      </w:r>
    </w:p>
    <w:p>
      <w:r>
        <w:t>The possibilities were considered similarly low, when taking into account economic considerations (particularly the costs associated with a change), to switch in the short term to other transport routes (road, ship) or transport containers (especially tank containers instead of tank wagons). Just like the integrated transport services, these transport alternatives are only to be regarded as substitution competition.</w:t>
      </w:r>
    </w:p>
    <w:p>
      <w:r>
        <w:t>In terms of geography, the wagon rental markets are to be delineated across the EEA. It could remain open whether individual countries are to be included in or excluded from the markets. However, in the context of the investigations, it has been shown that, with regard to the actual competitive relationship, different focal points within this geographical market should be assumed. For example, many Eastern European wagon lessors are either unknown to the customers of the merger parties or they have at least never rented from them. Even with regard to providers with a focus on activities in France, there were numerous customers based in Germany who had not rented wagons from them. This fact does not contradict the assumption of Europe-wide markets, but it does correspond with the analysis of the competitive proximity of the merger parties.</w:t>
      </w:r>
    </w:p>
    <w:p>
      <w:r>
        <w:t>Through the merger, VTG would have achieved a market share of just under 40% in the materially relevant market for the rental of tank wagons. It would have increased the gap to the next largest competitor GATX (market share between 25% and 30%) and thus also expanded its leading position. In the market for dry goods wagons, the combined market shares of the merger parties would have been over 50%, with a significant market share gap to the next largest competitor Ermewa (market share between 10% and 15%). With the target company, one of the last remaining medium-sized providers, which had been an active and attractive competitor for VTG with a broad wagon fleet in numerous market segments, would have been eliminated in terms of market structure.</w:t>
      </w:r>
    </w:p>
    <w:p>
      <w:r>
        <w:t>The clear focus of the target company is spatially in the core of the affected geographical markets. This corresponded with the assessment of market participants that the target company is a close competitor of VTG, which has so far exerted significant competitive pressure on the acquirer. This aspect distinguished the</w:t>
      </w:r>
    </w:p>
    <w:p>
      <w:r>
        <w:rPr>
          <w:b/>
        </w:rPr>
        <w:t>[Pages 4–5]</w:t>
      </w:r>
    </w:p>
    <w:p>
      <w:r>
        <w:t>4</w:t>
        <w:br/>
        <w:t>present merger of the acquisition of Ahaus-Alstätter Eisenbahn Holding AG by VTG in 2015, which the Federal Cartel Office approved.2</w:t>
      </w:r>
    </w:p>
    <w:p>
      <w:r>
        <w:t>The analysis of other market-shaping circumstances also did not allow for the prediction of effective competition in the affected markets after the merger. Although there is a general expectation of growth in the rental markets, partly due to the fact that the wagon stocks of state railways are on average outdated and less specialized, and new investments are made here to a rather limited extent. It is therefore expected that the rental of railway wagons will also gain importance for state railways. However, the currently available capacities provided by the wagon lessors are highly utilized, making any short-term expansions of supply difficult. Railway goods wagons are long-term investment goods, so significant fleet expansions cannot be predicted in the short term. According to the assessments of market participants, the barriers to market entry are also correspondingly high. Overall, the potential and the marginal competition arising from the mentioned substitution possibilities are not sufficient to conclude, in a comprehensive assessment, that the acquirer's scope of action after the merger would still be adequately controlled by competition. Thus, the merger would have significantly impeded effective competition in both affected markets in its unchanged form and, in particular, established a dominant market position.</w:t>
      </w:r>
    </w:p>
    <w:p>
      <w:r>
        <w:t>To avert a prohibition, the merger parties offered to sell the entire business of the German and Luxembourg subsidiary of Nacco to an independent acquirer before the execution. Additionally, another large ongoing rental contract with another significant customer will be included in this divestiture. Along with the employees of Nacco GmbH, all ongoing rental contracts and the ownership of the wagons rented under these contracts will also be transferred to the independent acquirer. Furthermore, for the purpose of rounding out the divestiture, the acquirer has the right to purchase a certain number of currently unrented or soon-to-be-vacated wagons from CIT Europe. According to the assessment of the Federal Cartel Office, which was confirmed by a survey of market participants regarding this commitment offer (so-called "market test"), this divestiture represents a high competitive potential. Although it only accounts for about one-third of the target company's wagon fleet, it includes a number of very high-profile customer contracts that will be transferred to the acquirer of the divestiture. The focus of the divestiture lies in the core area of the geographically relevant market. Therefore, the divestiture embodies a significant part of the competitive potential of the target company, which has so far made it a close competitor of VTG. However, the existence of effective competition in the affected markets through the transfer of the divestiture before the execution of the merger can only be assumed if the acquirer can exert competitive pressure with the help of the divestiture and based on existing resources and knowledge that is comparable to that of the target company. In examining these conditions, the Federal Cartel Office will also consider the aspect of maintaining a competitive market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