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https://www.bundeskartellamt.de/SharedDocs/Entscheidung/EN/Fallberichte/Fusionskontrolle/2007/B9-125-07_B9-165-08.pdf?__blob=publicationFile&amp;v=2</w:t>
      </w:r>
    </w:p>
    <w:p>
      <w:r>
        <w:t>Pages translated : 2</w:t>
      </w:r>
    </w:p>
    <w:p/>
    <w:p>
      <w:r>
        <w:rPr>
          <w:b/>
        </w:rPr>
        <w:t>[Pages 1–2]</w:t>
      </w:r>
    </w:p>
    <w:p>
      <w:r>
        <w:t xml:space="preserve">1  </w:t>
        <w:br/>
        <w:t xml:space="preserve">Case Summary 24 September 2010  </w:t>
        <w:br/>
        <w:t xml:space="preserve">Enforcement of remedies in Globus / HELA merger proceedings  </w:t>
        <w:br/>
        <w:t xml:space="preserve">Sector:  </w:t>
        <w:br/>
        <w:t xml:space="preserve">Building supplies and do-it-yourself stores  </w:t>
        <w:br/>
        <w:t xml:space="preserve">Ref:  </w:t>
        <w:br/>
        <w:t xml:space="preserve">B 9 - 125/07; B9 - 165/08  </w:t>
        <w:br/>
        <w:t xml:space="preserve">Date of Decision:  </w:t>
        <w:br/>
        <w:t>05 December 2007</w:t>
      </w:r>
    </w:p>
    <w:p>
      <w:r>
        <w:t>In December 2007, plans by Globus Fachmärkte KG to take over the building supplies and do-it-yourself (“DIY”) business of the Distributa group were cleared subject to a condition subsequent. The condition was that four local DIY stores of the target company, which were operated under the name "hela ProfiZentren", were sold to another, independent DIY store operator. Globus put the merger into effect but failed to comply with the condition subsequent within the divestiture period set therein. Consequently, the condition subsequent applied. With the expiry of the period, the original clearance automatically converted into a prohibition order and divestiture proceedings were instituted. Globus had appealed the clearance subject to conditions to the Düsseldorf Higher Regional Court.</w:t>
      </w:r>
    </w:p>
    <w:p>
      <w:r>
        <w:t>At the same time, it requested the Bundeskartellamt to convert the condition subsequent into an obligation to divest or, alternatively, to extend the deadline for the implementation of the condition. Both appeals were rejected by the Bundeskartellamt. Globus also appealed this decision at the court in Düsseldorf. In its appeal, it claimed that its appeal on the merits of the case would be virtually thwarted unless the requested conversion of the condition was granted. The Düsseldorf Higher Regional Court rejected both appeals in its decision of 22 December 2008 (OLG VI Kart 12/082). The court stated that conditions subsequent and obligations should be subject to strict criteria with regard to their content, since they contravene the principle of prevention. According to the court, such remedies resulted in a temporary toleration of an anticompetitive merger and could only be accepted in exceptional cases and for a limited period of time. Moreover, the court argued, the company had caused its own predicament by putting into effect a merger that had only been cleared subject to remedies, without fulfilling these remedies beforehand.</w:t>
      </w:r>
    </w:p>
    <w:p>
      <w:r>
        <w:t>In its decision of 30 September 2009 (VI Kart 1/08 3), the appeal court in Düsseldorf also rejected the appeal filed against the decision on the merits. Before its decision, the court had ordered further investigations in which specialized retail businesses offering a portfolio comparable (in parts) to building supplies and DIY stores were to be included in the relevant markets. The Bundeskartellamt had not included these businesses in its previous decision. These investigations showed, however, that the prohibition criteria were also fulfilled if these companies were included in the regional markets affected.</w:t>
      </w:r>
    </w:p>
    <w:p>
      <w:r>
        <w:t>In March 2010, Globus sold four local "hela ProfiZentren" in the locations concerned to OBI Deutschland KG. They were reopened as OBI stores in August 2010. With the sale of these sites and their subsequent operation by OBI, the competition restraint no longer existed. A further unbundling of any of the other markets was not necessary. The divestiture proceedings were terminated and the hold separate trust ended.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