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http://www.bundeskartellamt.de/SharedDocs/Entscheidung/DE/Fallberichte/Missbrauchsaufsicht/2015/B9-128-12.pdf;jsessionid=F74819920E955FEBD2E72D2327EDEBF8.2_cid371?__blob=publicationFile&amp;v=4</w:t>
      </w:r>
    </w:p>
    <w:p>
      <w:r>
        <w:t>Pages translated : 4</w:t>
      </w:r>
    </w:p>
    <w:p/>
    <w:p>
      <w:r>
        <w:rPr>
          <w:b/>
        </w:rPr>
        <w:t>[Pages 1–3]</w:t>
      </w:r>
    </w:p>
    <w:p>
      <w:r>
        <w:t xml:space="preserve">Case Report September 30, 2015  </w:t>
        <w:br/>
        <w:t xml:space="preserve">Determination of the Antitrust Illegality of Large Customer Contracts of Deutsche Post  </w:t>
        <w:br/>
        <w:t xml:space="preserve">Industry: Postal Services  </w:t>
        <w:br/>
        <w:t xml:space="preserve">File Number: B 9 – 128/12  </w:t>
        <w:br/>
        <w:t>Date of Decision: July 2, 2015</w:t>
      </w:r>
    </w:p>
    <w:p>
      <w:r>
        <w:t>The Federal Cartel Office has determined in an abuse proceeding against Deutsche Post AG (DPAG) that DPAG has abusively exploited its dominant market position in the area of letter services in the past, thereby hindering competitors. The decision identified two separate abuse scenarios: in four cases, a so-called price-cost squeeze, and in three cases, the granted conditions were additionally made dependent on the customers covering a high percentage of their demand for postal services with DPAG.</w:t>
      </w:r>
    </w:p>
    <w:p>
      <w:r>
        <w:t>The procedure was initiated at the end of October 2012 with information orders to 45 large letter senders in Germany. The reason for this was complaints from alternative letter service providers that DPAG allegedly made offers to individual large customers for the transport of their letters that were below the minimum partial service charges, i.e., below the amount that an alternative letter service provider would have to pay to DPAG at a minimum if they were to deliver the same shipments pre-sorted to a mail center of DPAG. This is to be seen in the following context:</w:t>
      </w:r>
    </w:p>
    <w:p>
      <w:r>
        <w:t>As a dominant letter service provider, DPAG is obliged to offer competitors a so-called partial service access to its network. If this is utilized, the competitor delivers letters that it has previously collected from its customer and "prepared in accordance with partial service," i.e., franked, numbered, and pre-sorted, to the mail center of DPAG. Letters can be delivered under the partial service access to the BZA (the "Mail Center Departure" at the sender) or the BZE ("Mail Center Arrival" at the recipient). In the first case, DPAG takes over the transport from the BZA to the BZE; in both cases, DPAG transports the letters from the BZE to the recipient. For its service, DPAG charges what is referred to as the partial service fee. This is calculated by deducting a partial service discount of up to 40% from the standard postage (currently 62 cents per standard letter). The partial service fee varies from sender to sender, depending, among other things, on the mix of shipments and the average partial service discount. The competitor using the partial service access combines this service with its own services (collecting from the sender, franking, pre-sorting, delivering to the mail center – these are referred to as preliminary services) into the end-to-end delivery product of the letter.</w:t>
      </w:r>
    </w:p>
    <w:p>
      <w:r>
        <w:t>From an economic perspective, the partial service represents the preliminary product, as it is needed as an input for providing the complete service. This partial service is offered by DPAG at the upstream market level and is demanded by competitors. At the downstream market level, DPAG and its competitors face each other, both offering the end customer, here the large customer, the service as end-to-end delivery.</w:t>
      </w:r>
    </w:p>
    <w:p>
      <w:r>
        <w:t>A price-cost squeeze (also referred to as margin erosion) occurs when a dominant provider of a preliminary product (here: the partial service access) is also active in the downstream market (here: the end-to-end delivery of letters) and demands prices that are lower than the prices it demands for the preliminary product in the upstream market. This is the case when DPAG, as a dominant company, charges a higher price for the partial service access than for the end-to-end delivery of letters. This also applies if the difference is not sufficient to cover the additional costs for the end-to-end delivery.</w:t>
      </w:r>
    </w:p>
    <w:p>
      <w:r>
        <w:t>DPAG is the addressee of the abuse prohibition, as it is dominant in the relevant markets here. In the upstream partial service market, DPAG is the only company that offers partial services for nationwide delivery. Also, in the downstream end customer market, DPAG is dominant with a market share of nearly 90% as determined by the Federal Network Agency. Even if one only considers the business customer segment with DPAG, a dominance by DPAG can be assumed. In the postal services for business customers, DPAG holds a market share of 63.7% according to these figures, while competitors account for around 15-20%; the remaining approximately 20-25% are accounted for by consolidators. Consolidators are companies that collect postal shipments from business customers and deliver them to DPAG, which then delivers these shipments. Other criteria such as financial strength or the demand structure confirm this finding. The trend towards "e-substitution" (replacing letter shipments with electronic communication) does not weaken DPAG's market dominance but merely leads to a gradual shrinkage of the market volume.</w:t>
      </w:r>
    </w:p>
    <w:p>
      <w:r>
        <w:t>The Federal Cartel Office therefore compared the agreed end customer prices with the individual partial service charges. In four cases, the prices that DPAG demanded on the downstream market for end-to-end delivery of letters were lower than the partial service charges that a competitor would have had to pay to DPAG on the upstream market if they wanted to use the partial service access. The target prices below the partial service charges were agreed upon between DPAG and the four major customers in separate contracts. Various instruments were used to bridge the difference between the partial service charges and the target price: advertising fees that DPAG paid to the customer for the customer printing the Deutsche Post logo, possibly with an addition "sent by Deutsche Post," fees for the delivery of quality data, and a large customer discount. The connection with the target prices shows that these instruments served solely to lower the price to be paid by the large customers. Due to the negative difference between the target price and the partial service fee, a price-cost squeeze was present. DPAG thus abused its dominant position.</w:t>
      </w:r>
    </w:p>
    <w:p>
      <w:r>
        <w:t>Furthermore, it was stipulated in the agreements that these favorable prices would be granted on the condition that the customer covered a certain high percentage (each over 90%) of its demand for postal services with DPAG. This left other letter service providers with no chance of becoming secondary providers for these large customers. This constituted a separate abuse of the dominant position in the end customer market.</w:t>
      </w:r>
    </w:p>
    <w:p>
      <w:r>
        <w:t>The target price agreements have not been extended since the initiation of the procedure and have expired. From the perspective of the Federal Cartel Office, it is therefore sufficient in this case to issue a declaratory decision. There is an interest in a declaration. On the one hand, there is a risk of repetition, as the party involved believes it is entitled to the behavior criticized. On the other hand, it cannot be ruled out that the intervenor or another company will assert claims for damages. This would be facilitated if an official decision has declaratory effect.</w:t>
      </w:r>
    </w:p>
    <w:p>
      <w:r>
        <w:t>A prohibition decision, on the other hand, does not appear necessary. However, the Federal Cartel Office reserves the right to examine further practiced behaviors separately.</w:t>
      </w:r>
    </w:p>
    <w:p>
      <w:r>
        <w:rPr>
          <w:b/>
        </w:rPr>
        <w:t>[Pages 4–4]</w:t>
      </w:r>
    </w:p>
    <w:p>
      <w:r>
        <w:t>Deutsche Post AG has filed an appeal against the decision, which is to be decided by the Higher Regional Court of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