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https://www.bundeskartellamt.de/SharedDocs/Entscheidung/DE/Entscheidungen/Fusionskontrolle/2001/B9-147-00.pdf;jsessionid=88CB2F4B2813D62DFB6B03D61D2FC114.2_cid389?__blob=publicationFile&amp;v=3</w:t>
      </w:r>
    </w:p>
    <w:p>
      <w:r>
        <w:t>Pages translated : 28</w:t>
      </w:r>
    </w:p>
    <w:p/>
    <w:p>
      <w:r>
        <w:rPr>
          <w:b/>
        </w:rPr>
        <w:t>[Pages 1–3]</w:t>
      </w:r>
    </w:p>
    <w:p>
      <w:r>
        <w:t>BUNDESKARTELLAMT</w:t>
        <w:br/>
        <w:t>9. Decision Division</w:t>
        <w:br/>
        <w:t>B 9 – 62100-U-147/00</w:t>
        <w:br/>
        <w:t>Decision</w:t>
        <w:br/>
        <w:t>In the antitrust administrative procedure</w:t>
        <w:br/>
        <w:t>1. Deutsche Lufthansa AG</w:t>
        <w:br/>
        <w:t>(hereinafter referred to as Lufthansa)</w:t>
        <w:br/>
        <w:t>Authorized representatives</w:t>
        <w:br/>
        <w:t>Andersen Luther Rechtsanwaltsgesellschaft</w:t>
        <w:br/>
        <w:t>Uerdinger Str. 86</w:t>
        <w:br/>
        <w:t>40474 Düsseldorf</w:t>
        <w:br/>
        <w:t>2. Eurowings Luftverkehrs AG</w:t>
        <w:br/>
        <w:t>(hereinafter referred to as Eurowings)</w:t>
        <w:br/>
        <w:t>3. Dr. Albrecht Knauf Beteiligungs GmbH &amp; Co. KG</w:t>
        <w:br/>
        <w:t>Authorized representatives for 2. and 3.</w:t>
        <w:br/>
        <w:t>Freshfields Bruckhaus Deringer Attorneys</w:t>
        <w:br/>
        <w:t>Freiligrathstr. 1</w:t>
        <w:br/>
        <w:t>40479 Düsseldorf</w:t>
        <w:br/>
        <w:t>- Parties involved -</w:t>
        <w:br/>
        <w:t>4. European Air Express Sales &amp; Travel GmbH &amp; Co. KG, Mönchengladbach</w:t>
        <w:br/>
        <w:t>5. European Air Express Luftverkehrsgesellschaft mbH, Mönchengladbach</w:t>
        <w:br/>
        <w:t>(hereinafter referred to as EAE)</w:t>
        <w:br/>
        <w:t>Authorized representatives for 4. and 5.</w:t>
        <w:br/>
        <w:t>Hengeler Mueller Attorneys</w:t>
        <w:br/>
        <w:t>Trinkausstraße 7</w:t>
        <w:br/>
        <w:t>40213 Düsseldorf</w:t>
        <w:br/>
        <w:t>- Joined parties -</w:t>
        <w:br/>
        <w:t>regarding the examination of a merger project pursuant to § 36 GWB, the 9th Decision Division decided on September 19, 2001:</w:t>
      </w:r>
    </w:p>
    <w:p>
      <w:r>
        <w:t>- 2 -</w:t>
        <w:br/>
        <w:t>I. The merger project, which involves the acquisition of 24.9% on January 1, 2001, and aims at the acquisition of an additional 24.1% of the shares in Eurowings, is approved under the following conditions and obligations:</w:t>
        <w:br/>
        <w:t>Conditions for market entry of EAE</w:t>
        <w:br/>
        <w:t>1) Lufthansa and Eurowings shall transfer at least three frequencies indefinitely on the routes Dortmund – Munich and Paderborn – Munich, starting with the winter flight schedule 2001/2002, as well as on the route Nuremberg – Berlin, starting with the summer flight schedule 2002, to EAE, as agreed in Annex 1a) to 1f) of the contract dated August 17, 2001, between the parties and the joined party.</w:t>
        <w:br/>
        <w:t>2) Eurowings shall sell and transfer at least five aircraft of the ATR 42 class to EAE to ensure the commencement of flight operations by EAE for the winter flight schedule 2001/2002.</w:t>
        <w:br/>
        <w:t>3) Lufthansa, Eurowings, and the companies commissioned or affiliated with them are obliged not to increase the frequencies and seat capacity on the routes mentioned in I. 1) compared to the winter flight schedule 2001/2002 until October 31, 2004, or only to increase them if EAE cannot or does not want to serve additional demand.</w:t>
        <w:br/>
        <w:t>4) Lufthansa, Eurowings, and the companies commissioned or affiliated with them are obliged to maintain a minimum interval of 60 minutes between the departure times of their intended scheduled air services on the routes mentioned in I. 1) compared to the schedules of EAE, as far as the opening hours of the airports allow.</w:t>
        <w:br/>
        <w:t>5) Lufthansa and Eurowings are obliged, upon request from EAE, to provide the necessary take-off and landing rights (slots) for the flights that EAE intends to operate in the future on the routes mentioned in I. 1) and all other domestic routes for a duration of six flight schedule periods, starting with the winter flight schedule 2001/2002, from their inventory, if no slots are available otherwise.</w:t>
        <w:br/>
        <w:t>6) Furthermore, the parties involved in the merger are obliged to fulfill the contract concluded on August 17, 2001, between EAE, Lufthansa, and Eurowings, as far as the conditions and obligations associated with the approval allow.</w:t>
      </w:r>
    </w:p>
    <w:p>
      <w:r>
        <w:t>Conditions for improving market conditions in domestic air transport</w:t>
        <w:br/>
        <w:t>7) Lufthansa and Eurowings are obliged to provide, upon request, up to three take-off and three landing rights (slots) at the airports of Düsseldorf, Munich, or Frankfurt/Main for use in domestic air transport starting with the winter flight schedule 2001/2002 on all routes in domestic air transport where a competitor wishes to offer scheduled air services anew, if no slots are available otherwise. This obligation can be fulfilled depending on need by transferring all slots to one or distributing them across several of the aforementioned airports. The slots must be returned by the competitor upon discontinuation of the respective scheduled service, as long as the slots are not needed for the commencement of another domestic scheduled service. However, the obligation to provide remains until the aforementioned amount even if a further competitor wishes to commence a scheduled service on a route in domestic air transport after the return.</w:t>
        <w:br/>
        <w:t>8) Lufthansa and Eurowings are obliged to transfer the air transport service and the corresponding slots for the execution of the respective scheduled service to a competitor who intends to commence the scheduled service on the following 13 routes by October 30, 2004, and for a further duration of six flight schedule periods - starting with the transfer - not to offer any scheduled service or to expand the scheduled services on these routes:</w:t>
        <w:br/>
        <w:t>Münster/Osnabrück – Stuttgart, Dresden – Dortmund, Dortmund - Leipzig, Dortmund – Nuremberg, Dortmund – Stuttgart, Dortmund – Berlin, Münster/Osnabrück – Berlin,</w:t>
      </w:r>
    </w:p>
    <w:p>
      <w:r>
        <w:rPr>
          <w:b/>
        </w:rPr>
        <w:t>[Pages 4–6]</w:t>
      </w:r>
    </w:p>
    <w:p>
      <w:r>
        <w:t>- 4 -</w:t>
        <w:br/>
        <w:t xml:space="preserve">Paderborn – Stuttgart, Saarbrücken – Berlin, Dresden – Hannover, Dortmund – Münster/Osnabrück, Dortmund – Paderborn, Düsseldorf – Friedrichshafen. The obligation to provide services exists at least to the extent of the number of flight frequencies that the new provider intends to offer on the aforementioned routes, but not exceeding the number of flight frequencies that Eurowings offered at the time of notification of the merger project. </w:t>
        <w:br/>
        <w:t xml:space="preserve">9) Lufthansa is required to open the granting of credits and bonuses under the Miles &amp; More program or a comparable customer loyalty program to customers of its competitors on market-standard terms for all routes in domestic air traffic, provided that a competitor requests this. The necessary exchange or provision of customer-related data of competitors to Lufthansa or a company commissioned by Lufthansa is to be limited to the organizational units that calculate the credits and to be kept separate from other departments. The use of the data for other purposes is not permitted. </w:t>
        <w:br/>
        <w:t xml:space="preserve">II. The fee for the notification is set at </w:t>
        <w:br/>
        <w:t xml:space="preserve">xxx.xxx.xx DM </w:t>
        <w:br/>
        <w:t xml:space="preserve">(in words: ...) </w:t>
        <w:br/>
        <w:t xml:space="preserve">(informatively: xx.xxx.x EURO) </w:t>
        <w:br/>
        <w:t>and imposed on the parties 1 to 3 as joint debtors.</w:t>
      </w:r>
    </w:p>
    <w:p>
      <w:r>
        <w:t>- 5 -</w:t>
        <w:br/>
        <w:t xml:space="preserve">Reasons </w:t>
        <w:br/>
        <w:t xml:space="preserve">I. The Merger Project </w:t>
        <w:br/>
        <w:t>By letter dated November 22, 2000, the parties notified a merger project whereby Lufthansa intends to acquire a total of 49% of the shares in Eurowings Luftverkehrs AG in two separate steps over time, specifically 24.9% as of January 1, 2001, and an additional 24.1% by no later than April 30, 2004. The share purchase and option agreement dated October 11, 2000, provides for an irrevocable sales offer by Dr. Albrecht Knauf Beteiligungs GmbH &amp; Co. KG (hereinafter referred to as DKNB) regarding the acquisition of 24.1%, which is secured as a call option on the corresponding share of the capital stock of Eurowings and can be exercised by Lufthansa no earlier than October 1, 2003, and no later than December 31, 2003. Similarly, an irrevocable purchase offer from Lufthansa to DKNB for 24.1% of the shares in Eurowings has been agreed, which can be exercised as a put option no earlier than January 1, 2004, and no later than April 30, 2004. Both options are subject to the condition that the project is approved by the Federal Cartel Office by no later than September 30, 2001. In the event of a lack of merger control approval, the parties have agreed to reverse the share purchase completed up to that point. The acquisition of 24.9% of the shares in Eurowings was completed on January 1, 2001. The decision division has agreed with the parties to examine the two-step acquisition of the shares in a single procedure. The examination of the acquisition of 24.9% of the shares completed on January 1, 2001, was not subjected to a separate review due to the prior notification of the project as a whole. With regard to the reversal clause, it should be noted that the acquisition of the contractually agreed 49% of the shares is the goal of the parties involved. The prohibition of the acquisition of 49% of the shares would lead to the reversal of the entire purchase and option agreement, including the already completed transfer of 24.9% of the shares. The unified examination of the two-step procedure was therefore also in the public interest. Eurowings joined the notification by letter dated November 28, 2000, and submitted the required information in accordance with § 39 GWB. By letter dated December 20, 2000, the decision division informed the merger parties that it had entered into the main examination procedure for a closer investigation of the project in accordance with § 40 Abs.1 GWB. The documents required for the examination in accordance with § 39 Abs. 3 sentence 2 and Abs. 4 GWB were fully available as of November 28, 2000. The original deadline for a decision in the main examination procedure ended on March 28, 2001. By letter dated March 5, 2001, the decision division informed the parties that there were serious concerns regarding the project and provided them with an opportunity to respond. The parties agreed by written submission dated March 13, 2001, to an extension of the merger procedure until September 3, 2001, and announced their intention to propose specific measures to improve competitive conditions in the expectation of addressing the concerns of the decision division. The decision division then extended the deadline for a decision in the main examination procedure until September 3, 2001, by letter dated March 14, 2001. By letter dated June 22, 2001, the intervenor submitted a business plan coordinated with the parties, which concerns the commencement of operations of the intervenor under the name European Air Express on the routes Dortmund - Munich, Paderborn - Munich, and Berlin - Nuremberg. The business plan includes calculations regarding the economic viability of operations for the aforementioned routes and flight schedules, which foresee a reduction in frequencies on the mentioned routes by Lufthansa/Eurowings and a partial takeover by EAE. The decision division then commissioned the German Aerospace Center, Cologne, on July 9, 2001, to examine and evaluate the submitted relief concept.</w:t>
      </w:r>
    </w:p>
    <w:p>
      <w:r>
        <w:rPr>
          <w:b/>
        </w:rPr>
        <w:t>[Pages 7–9]</w:t>
      </w:r>
    </w:p>
    <w:p>
      <w:r>
        <w:t>- 7 -</w:t>
        <w:br/>
        <w:t>with regard to its economic and market-related viability. At their request dated July 24, 2001, the decision division joined EAE as a party pursuant to § 54 Abs. 2 Nr. 3 GWB by decision dated August 3, 2001. By letters dated August 6, 2001, and again on August 20, 2001, the parties and the joined party submitted a draft contract, which secures the commencement of flight services on the routes Dortmund – Munich, Paderborn – Munich, and Nuremberg – Berlin by EAE contractually. Among other things, the agreement includes the inclusion of EAE in Lufthansa's Miles &amp; More customer loyalty program, the inclusion of EAE in the so-called interlining system, the acquisition of aircraft of the ATR class by EAE, the assurance of ground handling services, maintenance, catering, and the training of personnel. The signed contract has a term until October 31, 2004. On August 21, 2001, the decision division proposed to parties 1 to 3 to extend the deadline for a decision in the main examination procedure to October 1, 2001, in order to provide another opportunity for comments before issuing a final decision. The notifying companies agreed to this by letters dated August 23 and 24, 2001. The decision division then provided the merger parties with the opportunity to comment on the intended conditions and obligations of the clearance decision and discussed these in detail with them.</w:t>
      </w:r>
    </w:p>
    <w:p>
      <w:r>
        <w:t>II. The Participating Companies</w:t>
      </w:r>
    </w:p>
    <w:p>
      <w:r>
        <w:t>Lufthansa</w:t>
        <w:br/>
        <w:t>Lufthansa is an airline that conducts all activities related to air transport both domestically and internationally. This includes, among other things, the provision of ground handling services at airports for Lufthansa and third parties, in-flight catering for Lufthansa passengers and third parties, price management, the organization of travel events, and related services such as charter traffic. The revenues relevant for merger control of Lufthansa amounted to 25 billion DM worldwide in the fiscal year 1999, of which 16.7 billion DM were generated in the European Union and 12.0 billion DM in Germany.</w:t>
      </w:r>
    </w:p>
    <w:p>
      <w:r>
        <w:t>Eurowings</w:t>
        <w:br/>
        <w:t>The corporate purpose of Eurowings is the operation of air transport services both domestically and internationally, as well as the operation of all related businesses and facilities. Eurowings' worldwide revenue in 1999 was 728.5 million DM, of which approximately 672 million DM were generated in the European Union and about 557 million DM in Germany. Eurowings is majority-owned by Dr. Knauf Beteiligungs GmbH &amp; Co. KG as a holding company. Other majority stakes of the holding that are relevant under antitrust law include majority stakes in Lease Air GmbH &amp; Co. Verkehrsflugzeuge I KG and Lease Air GmbH &amp; Co. Verkehrsflugzeuge II KG, both based in Dortmund, with combined revenues of 9.5 million DM in the fiscal year 1999.</w:t>
      </w:r>
    </w:p>
    <w:p>
      <w:r>
        <w:t>III. The Merger</w:t>
        <w:br/>
        <w:t>The acquisition of 49% of the shares in Eurowings by Lufthansa fulfills the merger threshold of § 37 Abs. 1 Nr. 3 b) GWB. The acquisition of the shares in two stages is to be regarded economically as a single transaction, so that it can ultimately remain open whether the acquisition of 24.9% in the first stage already constitutes a merger. However, the decision division considers the requirements of § 37 Abs. 1 Nr. 4 GWB to be met, as Lufthansa's participation, in conjunction with the concluded cooperation agreements, conveys a competitively significant influence on Eurowings. The majority shareholder of Eurowings has no further operational interests in the domestic and other air transport markets. The merger parties intend a joint fleet and network policy, joint purchasing of raw, auxiliary, and operating materials, joint use of slots (slot exchange agreement), as well as code sharing for Eurowings flights within the Lufthansa and Star Alliance network under the entrepreneurial leadership of Lufthansa, which operates partially in the same markets as Eurowings. The basis for this is a cooperation agreement dated October 2, 2000, between Lufthansa and Eurowings, as well as related agreements such as the so-called cover letter to the cooperation agreement dated October 2, 2000. This largely integrates Eurowings into the operational business determined by Lufthansa. The market behavior of Lufthansa and Eurowings is no longer competitively oriented in their mutual relationship, but rather aimed at a joint market presence with different brands as well as the utilization of synergies and resources of Lufthansa.</w:t>
      </w:r>
    </w:p>
    <w:p>
      <w:r>
        <w:t>IV. Scope of Application of the GWB</w:t>
        <w:br/>
        <w:t>The project has no community-wide significance. Although the revenue thresholds of Art. 1 Abs. 2 lit. a and b) FusKontrVO are met, the companies each generate more than two-thirds of their community-wide revenue in Germany, so that the provisions of European merger control according to Art. 1 Abs. 2, second sentence FusKontrVO do not apply. The planned merger thus falls within the scope of the provisions of the GWB on merger control. The requirements of § 35 Abs. 1 Nr. 1 and 2 GWB are solely fulfilled by Lufthansa.</w:t>
      </w:r>
    </w:p>
    <w:p>
      <w:r>
        <w:t>V. Competitive Assessment</w:t>
        <w:br/>
        <w:t>The notified merger meets the prohibition requirements of § 36 Abs. 1 GWB, as it is expected that Lufthansa's dominant position in the market for domestic scheduled air traffic will be strengthened. Nevertheless, it is to be cleared,</w:t>
      </w:r>
    </w:p>
    <w:p>
      <w:r>
        <w:rPr>
          <w:b/>
        </w:rPr>
        <w:t>[Pages 10–12]</w:t>
      </w:r>
    </w:p>
    <w:p>
      <w:r>
        <w:t>- 10 -</w:t>
        <w:br/>
        <w:t>since the conditions for prohibition will no longer apply with the fulfillment of the ancillary provisions mentioned in the decision.</w:t>
      </w:r>
    </w:p>
    <w:p>
      <w:r>
        <w:t>- 11 -</w:t>
        <w:br/>
        <w:t>1. The Material Relevant Market</w:t>
        <w:br/>
        <w:t>The decision division considers the domestic scheduled air traffic within Germany as the material relevant market. This market delineation is based on the investigations of the decision division, particularly the survey of competitors conducted as part of an information request by the decision division regarding the competitive effects associated with the merger project.</w:t>
        <w:br/>
        <w:t>On the interchangeability of demand between different modes of transport</w:t>
        <w:br/>
        <w:t>The parties have argued for market delineation that the entire German travel market, including all land-based modes of transport, constitutes the material relevant market. The decisive parameters for the interchangeability of modes of transport are price and time expenditure. For the question of the modes of transport to be included, it should be distinguished, according to the decision practice of the European Commission and the results of a study commissioned by it in the travel sector, between two different markets – one for business travelers and one for leisure travelers. At least for distances between 350 and 1000 km, there is interchangeability for leisure travelers between airplanes on one hand and high-speed trains as well as other land-based modes of transport on the other hand.</w:t>
        <w:br/>
        <w:t>Furthermore, it is a consistent practice of the European Commission to conduct a route-based analysis based on the routes operated by the parties.</w:t>
        <w:br/>
        <w:t>A network-based analysis is precluded due to the long-standing practice of the European Commission and the case law of the Court of Justice of the European Union in the British Airways/TAT European Airlines case (Judgment of May 19, 1994, 534/539 EuZW).</w:t>
        <w:br/>
        <w:t>The parties also refer to decisions of the Kammergericht and the Bundesgerichtshof, according to which, for each of the routes affected by the project, it must be examined whether the air transport offer of the participating companies is interchangeable with the offer available for overcoming the route using other, land-based modes of transport (among others, the decision "Flight Price Discrimination" WuW/E DE-R 124/126 and "Interlining" WuW/E OLG 4601).</w:t>
        <w:br/>
        <w:t>The decision division has not adopted this market delineation. It fundamentally assumes a market for domestic scheduled air traffic and considers air traffic to neighboring European countries as a separate market, which may be further subdivided. In doing so, the decision division includes route-related and overall market aspects in its assessment, as far as they are relevant to the project.</w:t>
      </w:r>
    </w:p>
    <w:p>
      <w:r>
        <w:t>- 12 -</w:t>
        <w:br/>
        <w:t>Comparison of Rail and Air Travel</w:t>
        <w:br/>
        <w:t>The decision division has compared travel times and travel costs on selected routes based on the existing offers of the parties involved in the merger, the fares listed in the reservation systems, and the fastest available connection of Deutsche Bahn AG. It has used first-class fares for the rail connection.</w:t>
        <w:br/>
        <w:t>The results of the investigations are presented in the following table:</w:t>
        <w:br/>
        <w:t>Travel Times and Travel Costs for Air and Rail Travel</w:t>
        <w:br/>
        <w:t>Based on Selected Routes</w:t>
        <w:br/>
        <w:t>Frankfurt – Dortmund – Düsseldorf – Munich - Nuremberg –</w:t>
        <w:br/>
        <w:t>Berlin Munich Nuremberg Paderborn Berlin</w:t>
        <w:br/>
        <w:t>DM Time DM Time DM Time DM Time DM Time</w:t>
        <w:br/>
        <w:t>Lufthansa 498,-- 1 hr. 5 min. 446,-- 1 hr. 446,-- 1 hr. 499,-- 1 hr. 442,-- 1 hr.</w:t>
        <w:br/>
        <w:t>25 min. 25 min. -- 25 min. 10 min.</w:t>
        <w:br/>
        <w:t>Deutsche 311,-- 3 hrs. 29 min. (Sprinter) 342,-- 6 hrs. 236,-- 4 hrs. 302,-- 5 hrs. 348,-- 4 hrs.</w:t>
        <w:br/>
        <w:t>Bahn 44 min. 55 min. -- 20 min. 48 min.</w:t>
        <w:br/>
        <w:t>Münster – Munich – Munich – Münster –</w:t>
        <w:br/>
        <w:t>Stuttgart Erfurt Leipzig</w:t>
        <w:br/>
        <w:t>Saarbrücken</w:t>
        <w:br/>
        <w:t>DM Time DM Time DM Time DM Time</w:t>
        <w:br/>
        <w:t>LUFTHANSA 499,-- 1 hr. 499,-- 1 hr. / / 544,-- 3 hrs. 20 min.</w:t>
        <w:br/>
        <w:t>10 min. 10 min. (1 transfer in</w:t>
        <w:br/>
        <w:t>Frankfurt; no</w:t>
        <w:br/>
        <w:t>direct flight)</w:t>
        <w:br/>
        <w:t>DEUTSCHE 257,-- 5 hrs. 5 min. 214,-- 4 hrs. 267,-- 4 hrs. 28 131,-- 4 hrs. 40 min.</w:t>
        <w:br/>
        <w:t>BAHN min. min.</w:t>
        <w:br/>
        <w:t>Route Munich – Erfurt:</w:t>
        <w:br/>
        <w:t>Only Tempelhof Airline</w:t>
        <w:br/>
        <w:t>(400,-- + taxes; 50 min.)</w:t>
        <w:br/>
        <w:t>DM = Price for Business Fare / one-way (flight) or Price 1st Class ICE / Metropolitan</w:t>
        <w:br/>
        <w:t>(one-way)</w:t>
        <w:br/>
        <w:t>Lufthansa or Partner Airline (Kimber Air, Augsburg Airways, Rheintal Flug, Lux Air)</w:t>
      </w:r>
    </w:p>
    <w:p>
      <w:r>
        <w:rPr>
          <w:b/>
        </w:rPr>
        <w:t>[Pages 13–15]</w:t>
      </w:r>
    </w:p>
    <w:p>
      <w:r>
        <w:t>- 13 -</w:t>
        <w:br/>
        <w:t>The differences in travel times on the competitive routes amount, in the best case of the respective fastest connection, to 2 hours and 24 minutes (Frankfurt/Berlin) and 5 hours and 19 minutes on the Dortmund/Munich route in favor of the mode of transport airplane; in this context, the route Münster/Leipzig was not representative, as there is no direct flight offered, but only a connecting flight via Frankfurt. To the extent that time differences are reduced by including the time required for arrival and departure to and from the airport as well as for boarding, the comparable travel times only approach those of the DB AG Sprinter on the Berlin-Frankfurt route, which, due to its low frequency of service (only two departures per day), cannot be considered a sufficient alternative to air travel. The prices for air travel on routes with a direct flight connection range from 94 DM to 285 DM above the prices for the one-way first-class train connection. The decision division sees, in light of the results, a significant time difference in favor of the air connection and still a very pronounced price disparity in favor of the train connection. If a second-class fare is used for comparison, the price gap for alternative transport widens even further in favor of the train connection. Comparable differences also exist with regard to bus travel; individual travel by car is disregarded for the reason that it does not represent services offered in the market. The substitution relationships claimed by the parties between air transport and other modes of travel can, for the vast majority of the routes considered here, only be affirmed for individual routes. The decision division has therefore excluded a unified market for air and land-based transport for domestic travel.</w:t>
      </w:r>
    </w:p>
    <w:p>
      <w:r>
        <w:t>A unified cross-modal market cannot be established for European or intercontinental flights either. Due to the significantly greater distances and the associated travel times or costs, land-based transport does not represent a seriously considered alternative to air travel.</w:t>
      </w:r>
    </w:p>
    <w:p>
      <w:r>
        <w:t>- 14 -</w:t>
        <w:br/>
        <w:t>Unified Market for Scheduled and Charter Traffic</w:t>
        <w:br/>
        <w:t>The decision division does not consider a further subdivision of the market for air travel into business travelers and holiday travelers to be appropriate. Investigations have shown that even providers with a focus on holiday flights offer seats not sold through tour operators in the market for scheduled flights. Such offers are examined and requested as alternatives to a scheduled flight due to their price attractiveness from the customer's perspective. Even though the connections offered in charter traffic do not achieve the coverage and frequency of regular scheduled connections, all surveyed competitors confirmed the assumption of a unified market. This assessment is also supported by the practice of the Federal Statistical Office. Based on its long-term market observation, the results of air traffic statistics since 1995 show combined results for scheduled and charter traffic.</w:t>
      </w:r>
    </w:p>
    <w:p>
      <w:r>
        <w:t>2. The Spatial Relevant Market</w:t>
        <w:br/>
        <w:t>Overall Market vs. Route-Based Delimitation</w:t>
        <w:br/>
        <w:t>Regarding the spatial market delimitation, the decision division also considers a dual perspective - on the one hand, the overall market for domestic scheduled air traffic and, on the other hand, individual routes - to be appropriate for assessing the project regarding its competitive effects. The passenger requesting an air travel faces a bundle of flight offers to various destinations. With respect to a single trip to a specific destination, the offer on the corresponding route is generally not interchangeable with offers on other routes. However, when considering the demand for domestic air services overall, which is directed at a multitude of different point-to-point connections, the entire network of flight connections stands in opposition as an offer. At least for merger control, it is not sufficient to focus solely on an individual need in a specific case, but also to consider the adjustment flexibility of the providers, who tailor their offerings to the very heterogeneous needs of passengers. The network effects associated with the merger project, which result in a significant expansion of the pool of takeoff and landing rights (slots), technical equipment, and greater flexibility in servicing routes, are decisive for this. Particularly, the ability to respond quickly to changing demand structures and the targeted servicing of individual market segments represent a significant competitive effect that comes into play only in relation to the overall market.</w:t>
      </w:r>
    </w:p>
    <w:p>
      <w:r>
        <w:t>In the cases cited by the parties to justify a route-based market delimitation, "interlining" and "flight price splitting," abuse cases were the subject of the dispute, which were inherently to be assessed on a route basis. In this case, a merger is to be assessed as to whether and to what extent a dominant market position is established or strengthened. Route-based considerations are just as necessary as the assessment of overall or group effects associated with the project. The parties themselves have cited the advantages of cooperative collaboration in domestic air traffic and the concentration of partners on their respective business areas as one of the main reasons. No one will seriously doubt that the advantages, for example, in flight reservations in the booking system, joint marketing, cooperation based on code shares, or the use of technical ground handling services lead to synergy effects that would hardly be captured by a route-based consideration.</w:t>
      </w:r>
    </w:p>
    <w:p>
      <w:r>
        <w:t>3. Market Volume and Competitive Structure</w:t>
        <w:br/>
        <w:t>The total passenger volume in the primarily affected relevant market for domestic scheduled traffic amounted to approximately 14.1 million passengers for the year 2000. The respective market shares of the merger parties were determined by the decision division to be 73.6% (corresponding to 10.4 million passengers) for Deutsche Lufthansa and 4.0% (corresponding to 600 thousand passengers) for Eurowings. A route-based consideration revealed that on 67 routes in domestic air traffic, Lufthansa or its partners are the sole providers. On three additional routes (Dortmund-Munich, Paderborn-Munich, and Nuremberg-Berlin), Lufthansa, including its partners, was in competition with Eurowings at the time of notification, and on seven additional routes (Munich-Berlin Tegel, Düsseldorf-Munich, Hamburg-Munich, Cologne-Berlin Tegel, Stuttgart-Berlin Tegel, Düsseldorf-Berlin Tegel, and Cologne/Bonn-Munich), it was in competition with Deutsche BA. By letter dated May 18, 2001, Eurowings announced the cessation of flight operations on</w:t>
      </w:r>
    </w:p>
    <w:p>
      <w:r>
        <w:rPr>
          <w:b/>
        </w:rPr>
        <w:t>[Pages 16–18]</w:t>
      </w:r>
    </w:p>
    <w:p>
      <w:r>
        <w:t>- 16 -</w:t>
        <w:br/>
        <w:t>routes with low traffic volume (Münster/Osnabrück – Stuttgart and Düsseldorf – Nuremberg) during the year 2000. In addition to the aforementioned routes, the investigations of the decision division revealed that the following 13 connections were operated by Eurowings at the time of the notification of the merger project without competitors: Dresden – Dortmund, Dortmund – Leipzig, Dortmund – Nuremberg, Dortmund – Stuttgart, Dortmund – Berlin, Dortmund – Stuttgart, Münster/Osnabrück – Berlin, Paderborn – Stuttgart, Saarbrücken – Berlin, Dresden – Hanover, Dortmund – Münster/Osnabrück, Dortmund – Paderborn, Düsseldorf – Friedrichshafen. The passenger volume achieved here amounted to approximately 315 thousand and corresponds to a market share of 2.2%. The passenger volume of Eurowings in domestic air traffic was stated in the same letter - in accordance with the findings of the decision division - as [...] thousand passengers; however, the volume is to be set at a maximum of [...] thousand passengers for the year 2001 due to the cessation of scheduled services on the aforementioned routes. These figures are not conclusively verifiable in that the volume of Eurowings on the routes no longer served for the year 2000, according to the parties involved in the merger's own statements in the notification dated November 22, 2000 (Annex 7), amounts to about 15 thousand passengers. A decline in passenger volume of 140 thousand to 240 thousand for the remaining routes cannot be explained either by the overall market development or based on the route-specific data of the parties involved in the merger with declines in domestic air traffic. The decision division therefore assumes that declines in the overall passenger volume of Eurowings relate to cross-border traffic. This assumption is primarily supported by Eurowings' withdrawal from the cooperations with KLM and Alitalia. This development had no impact on the domestic passenger volume and the volumes used for the competitive assessment of the relevant market.</w:t>
      </w:r>
    </w:p>
    <w:p>
      <w:r>
        <w:t>- 17 -</w:t>
        <w:br/>
        <w:t>The decision division therefore continues to base its assessment on a passenger volume for Eurowings of approximately [...] thousand for the year 2000 and considers the effects of the cessation of operations through comparative calculations in favor of the parties involved in the merger. There can be no doubt that the substantive examination of the project must refer to the market conditions existing at the time of notification, and thus to the year 2000.</w:t>
        <w:br/>
        <w:t>4. The strengthening of the dominant market position</w:t>
        <w:br/>
        <w:t>The decision division bases the assumption of the strengthening of Lufthansa's dominant market position in the domestic German air transport market on information from the German Aerospace Center, Cologne (DLR), which compiled relevant data for the decision division as part of an expert report. The data on overall passenger volume is based on official air traffic statistics. According to this, a total of 531 thousand passengers (air traffic demand) were transported in 2000 on the routes Dortmund - Munich, Paderborn – Munich, and Nuremberg – Berlin, of which 176 thousand on the route Munich - Dortmund, 142 thousand on the route Munich - Paderborn, and 213 thousand on the route Nuremberg - Berlin. For the route Nuremberg - Berlin, the combined data for the airports Tegel and Tempelhof are included due to the close spatial relationship. This aggregation is common and is also used by the parties involved in the merger. The passenger volume attributable to Eurowings on these routes amounted to a total of [...] thousand, with an overall market share of [...] %, of which [...] thousand on the route Dortmund – Munich, [...] thousand on the route Paderborn - Munich, and [...] thousand on the route Nuremberg - Berlin. The remaining passenger volume on these routes is attributable to Lufthansa in an amount of [...] thousand passengers (corresponding to a market share of [...] % in the overall market). In summary, the merger removes market shares amounting to [...] % with a volume of [...] thousand passengers from competition on the high-volume routes where competition between Lufthansa and Eurowings previously existed. The strengthening of Lufthansa's dominant market position in domestic scheduled air traffic amounts to a total market share increase of [...] %. Even if one considers the lower limit of the volume indicated by Eurowings with [...] thousand passengers, a strengthening of Lufthansa's market position of [...] % results. The notified merger is thus causally responsible for the deterioration of the market structure. Eurowings no longer appears as a competitor in a market that has recently been characterized by only three providers. Given the already high market share well above the statutory presumption threshold according to § 19 Abs. 3 GWB of one-third, the increase of [...] % market share represents a strengthening within the meaning of § 36 Abs. 1 GWB.</w:t>
        <w:br/>
        <w:t>5. The new provider</w:t>
        <w:br/>
        <w:t>With the merger, improvements to the market structure that affect the functioning of competition must also be taken into account (see also BGH decision "Inlandstochter", WuW/E BGH p. 2731). Furthermore, a clearance may also be considered if the prohibition conditions can be eliminated by conditions and obligations (§ 40 Abs. 3 GWB). The parties involved in the merger have submitted a concept according to which Eurowings will transfer [...] frequencies in scheduled service on the routes Dortmund - Munich, Paderborn - Munich, and Nuremberg - Berlin to a new provider - the intervenor. EAE has previously been active in scheduled service on the route London (Luton) – Mönchengladbach – Munich. Eurowings will discontinue one of its previous frequencies on the route Dortmund – Munich at the start of the winter flight schedule 2001/2002, resulting in [...] of [...] scheduled connections on the routes Dortmund - Munich being offered by EAE. On the routes Nuremberg - Berlin, [...] frequencies from Lufthansa and Eurowings will be reduced to a total of [...] remaining connections for the jointly operating parties involved in the merger. This is countered by [three] frequencies that will be served by EAE in the future. Also, [three] of the unchanged [eight] frequencies on the route Paderborn - Munich will be offered by EAE in the future. At the same time, with the contract dated August 17, 2001, between Lufthansa, Eurowings</w:t>
      </w:r>
    </w:p>
    <w:p>
      <w:r>
        <w:rPr>
          <w:b/>
        </w:rPr>
        <w:t>[Pages 19–21]</w:t>
      </w:r>
    </w:p>
    <w:p>
      <w:r>
        <w:t>- 19 -</w:t>
        <w:br/>
        <w:t>and EAE, accompanying measures have been agreed that facilitate or secure market entry, including the acquisition of five ATR 42 class aircraft, inclusion in an interlining agreement, aircraft maintenance by Eurowings, assurance of ground handling services, and indefinite inclusion in Lufthansa's frequent flyer bonus program Miles &amp; More. The parties also commit to making increases in frequencies on the aforementioned routes only by mutual agreement. The contract is limited until October 31, 2004. The decision division had to assess to what extent the transfer of air transport services to EAE - and thus its market entry on these routes - can fully or partially compensate for the deterioration of the market. Initially, an evaluation of the business concept presented with the business plan and the expected improvement in market structure was necessary. As part of a forecast, the durability of EAE's market entry also had to be examined. Therefore, the decision division requested the German Aerospace Center to investigate the economic assumptions and market-related aspects of the submitted business plan. At the request of the decision division and in agreement with the merger parties, the contract concluded between the parties on August 17, 2001, and the resulting competitive implications were included in the examination.</w:t>
      </w:r>
    </w:p>
    <w:p>
      <w:r>
        <w:t>6. Evaluation of Measures to Improve Competitive Conditions</w:t>
        <w:br/>
        <w:t>As a result, the expert arrives at a positive assessment regarding the marketability of the concept. The economic assumptions and evaluations lead to the conclusion that EAE, as a new provider, can establish itself in the market under certain conditions and can partially compensate for the deterioration of market conditions recognized by the decision division due to the merger.</w:t>
      </w:r>
    </w:p>
    <w:p>
      <w:r>
        <w:t>- 20 -</w:t>
        <w:br/>
        <w:t>However, this conclusion should not be viewed unconditionally. The expert report contains statements regarding EAE's position in competition, particularly with respect to individual competitive parameters such as pricing, frequencies, technical equipment, slot availability, and customer loyalty programs, which will be addressed further below. It is also significant that a temporary competition protection for at least three years is deemed necessary. Regarding the improvement of market structure, it should be noted that EAE will take over a passenger volume of [...] thousand upon the commencement of its scheduled service on the aforementioned routes, whereas Eurowings has a passenger volume of [...] thousand on the relevant routes. In relation to the overall market of domestic scheduled air traffic and the passenger volume determined by the decision division for Eurowings, the structural deterioration is to be set at [...] thousand passengers, using the lower limit of the figures provided by Eurowings for the year 2000 in a letter dated May 18, 2001, with [...] thousand passengers or a market share of [...] %, which continues to accrue to Lufthansa. The view expressed in Lufthansa's letter dated August 24, 2001, that EAE's entry into the market represents an adequate counterbalance to the strengthening of Lufthansa's market position, is not accurate in light of the data presented by the decision division, which has not been disputed by the merger parties. A further commitment from EAE on the mentioned routes would therefore have been desirable. However, a higher investment volume would have been a prerequisite for this, which the investors (EAE) were not willing to bear, citing the principle of commercial prudence and the significantly higher investment risk. The alternative of a complete withdrawal of the merger parties from the air transport service on the three aforementioned routes was also not seriously considered. The reasons likely lie in the significance of Dortmund Airport as the home airport for Eurowings and the strategic orientation of Lufthansa towards the Munich hub, which is expected to gain greater business significance in the future with regard to European and intercontinental flights.</w:t>
      </w:r>
    </w:p>
    <w:p>
      <w:r>
        <w:t>- 21 -</w:t>
        <w:br/>
        <w:t>The decision division therefore concludes - contrary to the view of the merger parties - that even considering EAE's market entry, a market deterioration remains that is directly caused by the merger. Nevertheless, the decision division believes that further measures to improve competitive conditions are possible and are also necessary for the approval of the project. To the extent that the parties have claimed market-improving measures beyond EAE's market entry, such as the introduction of new connections to European destinations, these would have effects on the market for flight services to European destinations - and thus on a different market than the one primarily affected here. However, the claimed improvements do not withstand the standard of structural effectiveness and sustainability. In the view of the decision division, they are not suitable to compensate for the deteriorations in the market for domestic air transport. The expansion of the offering is more likely to enhance Lufthansa's already strong market position in domestic air transport even in cross-border air transport. Furthermore, the introduction of new flight connections can be reversed at any time and is not even remotely suitable to bring about structurally and long-term sustainable improvements in the market structure of the primarily affected market for domestic air transport. It should be noted that air traffic within the EU is fully open to competition and that there are no market entry barriers comparable to those in domestic scheduled air traffic for cross-border flight services. While the addition of extra connections expands the offering, it does not lead to a sustainable improvement in the existing competitive conditions given the openness of the markets.</w:t>
      </w:r>
    </w:p>
    <w:p>
      <w:r>
        <w:t>7. Approval with Conditions</w:t>
      </w:r>
    </w:p>
    <w:p>
      <w:r>
        <w:rPr>
          <w:b/>
        </w:rPr>
        <w:t>[Pages 22–24]</w:t>
      </w:r>
    </w:p>
    <w:p>
      <w:r>
        <w:t>- 22 -</w:t>
        <w:br/>
        <w:t>The decision division is nevertheless of the opinion that a clearance of the merger with additional conditions is possible and corresponds to the principle of proportionality compared to a prohibition. A prerequisite is the compensation for the remaining deterioration of market structure despite the market entry of EAE. In order to achieve corresponding structural effects for the affected market, both route-specific and overall market measures for domestic air traffic must be included.</w:t>
        <w:br/>
        <w:t>Market Entry of EAE</w:t>
        <w:br/>
        <w:t>The conditions listed under I. 1) to 9) of the decision's tenor essentially correspond to the agreements that the merger parties made in the contract concluded with EAE in anticipation of the expected decision of the authority dated August 17, 2001.</w:t>
        <w:br/>
        <w:t>In detail:</w:t>
        <w:br/>
        <w:t>The contractually agreed partial transfer of flight services to EAE on the routes Dortmund - Munich, Paderborn - Munich, and Nuremberg - Berlin is conditioned by the decision division on the requirement that the frequency transfer and thus the market improvement effect is not limited to a flight schedule period but is secured permanently for the duration of the competition prohibition of [...] years.</w:t>
        <w:br/>
        <w:t>The specification of the frequencies and seat capacities of the merger parties and the companies cooperating with them serves to protect the competition of EAE flight services during the market introduction phase on the mentioned routes. Lufthansa, Eurowings, and the companies associated with or commissioned by them have the advantage of an established product compared to the new provider, which is significantly enhanced by the use of jet aircraft. To ensure the sustainability of the market entry, which, according to industry-standard estimates, should be planned for at least three years, and to exclude predatory competition by the parties involved, a temporary protection during a transition period is necessary. This view is also shared by the expert. [...]. However, an increase in flight services and/or capacities is not contingent upon mutual consent but is based on the condition that EAE cannot or does not want to take over an expansion. In this respect, it is also ensured that there is no deterioration in the supply situation.</w:t>
      </w:r>
    </w:p>
    <w:p>
      <w:r>
        <w:t>- 23 -</w:t>
        <w:br/>
        <w:t>In addition to the frequencies, the spacing between the flight times of the respective competitors is of great importance. It directly influences the seat load factor and thus the threshold for the economically sensible use of the aircraft. A too close proximity of departure times, according to all experience, leads to a greater interchangeability of the products, which regularly affects the smaller competitor adversely. [...].</w:t>
        <w:br/>
        <w:t>[...]. Particularly because EAE only partially compensates for the deterioration of market structure with the intended flight services, the decision division considers it necessary to lower the market entry barriers for EAE on other routes as well. From the perspective of proportionality and after weighing the economic interests of the parties involved, a limitation of slot allocation at airports where slots are not or hardly available appears appropriate. The decision division relies on information from the flight schedule coordinator, who has identified slot bottlenecks particularly for flights with departure or destination in Düsseldorf, Munich, Berlin Tegel, or Frankfurt.</w:t>
        <w:br/>
        <w:t>Conditions for Opening the Domestic Air Transport Market</w:t>
        <w:br/>
        <w:t>The decision division considers further conditions, which go beyond the immediate connection of the transfer of flight frequencies and the securing of EAE's market entry, necessary to exclude the remaining pull effects in favor of Lufthansa and adverse effects on the market structure of domestic air transport.</w:t>
      </w:r>
    </w:p>
    <w:p>
      <w:r>
        <w:t>- 24 -</w:t>
        <w:br/>
        <w:t>In detail:</w:t>
        <w:br/>
        <w:t>The decision division has previously stated that the market entry barriers for domestic air transport are higher than in European or intercontinental air transport. The deterrent effect for the market entry of new regional service providers is consequently intensified with the increase in market shares and resources of Lufthansa. Synergies arise for the merger parties - as already stated elsewhere - primarily from the flexible and demand-oriented deployment of different aircraft, the seamless expansion of frequencies, and the slots available in the pool of the parties involved. The resulting network effect has an impact that goes beyond the mere increase in market share, benefiting the market leader Lufthansa and worsening the competitors' ability to respond to it.</w:t>
        <w:br/>
        <w:t>Takeoff and Landing Rights</w:t>
        <w:br/>
        <w:t>A slot regulation for the conditioned allocation of takeoff and landing rights for routes in domestic air transport, on which competitors intend to commence flight services for the first time, can, in the opinion of the decision division, contribute to compensating for the deterioration of market structure and effectively controlling the growing behavioral leeway of the market leader. The condition aimed at the allocation of slots is therefore directed at compensating competitors whose development opportunities are hindered by bottlenecks in available slots. This is also associated with an incentive effect for the market entry of new competitors or the initiation of new scheduled services by other providers. The condition is also suitable for permanently increasing the intensity of competition in the interest of customers.</w:t>
        <w:br/>
        <w:t>The decision division has limited the slot allocation obligation to the airports of Düsseldorf, Frankfurt, or Munich because, according to the current state of knowledge, only there can bottleneck situations for corresponding takeoff or landing rights occur. The decision division has refrained from a corresponding regulation for the also slot-sensitive airport Berlin - Tegel because the spatial proximity and thus the unity of all three Berlin airports provide a sufficient alternative option.</w:t>
        <w:br/>
        <w:t>With the limitation to three takeoff and landing rights each, a minimum threshold for a scheduled service on a route in domestic air traffic is defined, which is necessary for a</w:t>
      </w:r>
    </w:p>
    <w:p>
      <w:r>
        <w:rPr>
          <w:b/>
        </w:rPr>
        <w:t>[Pages 25–27]</w:t>
      </w:r>
    </w:p>
    <w:p>
      <w:r>
        <w:t>- 25 -</w:t>
        <w:br/>
        <w:t>business traveler appears acceptable and is justifiable from an economic perspective. The decision division also aligns this condition with regulations of European merger control, as established in the case of the merger between United Airlines/US Airways (see EU Commission Comp/M. 2041) with the decision dated January 12, 2001.</w:t>
        <w:br/>
        <w:t>The decision division has also mandated a return obligation of the slots upon the discontinuation of scheduled services to Lufthansa, Eurowings, and companies associated with or commissioned by them, in order to achieve a long-term structural effect in the market and to ensure the allocation of the slots for use in domestic air traffic. Therefore, the obligation to relinquish slots by the merger parties revives in all subsequent cases where another provider enters the market or establishes a new scheduled service that includes Düsseldorf, Munich, or Frankfurt as a departure or destination airport.</w:t>
        <w:br/>
        <w:t>The incentive effects arising from this are thus designed to be permanent and are also in the competitive interest from the perspective of proportionality.</w:t>
        <w:br/>
        <w:t>Withdrawal of Eurowings on thirteen routes</w:t>
        <w:br/>
        <w:t>Another market-opening measure from the perspective of the decision division consists of the requirement to provide air transport services to competitors on those routes that were operated by Eurowings prior to the cooperation with Lufthansa and are not affected by the market entry of EAE. This involves thirteen routes with a passenger volume of [...] thousand passengers. This represents a market improvement potential of [...] % of the market share held by Eurowings at the time of notification in domestic air traffic, which will have a long-term impact on the competitive structure.</w:t>
        <w:br/>
        <w:t>To avoid a deterioration of the supply situation, the withdrawal of Eurowings is required to the extent that another competitor enters the affected routes. Reductions in the previous supply allow for the maintenance of a residual offering by Eurowings and thus promote competition.</w:t>
      </w:r>
    </w:p>
    <w:p>
      <w:r>
        <w:t>- 26 -</w:t>
        <w:br/>
        <w:t>Customer loyalty programs</w:t>
        <w:br/>
        <w:t>According to the expert's assessment, customer loyalty programs have a significant influence on the choice of airline. Customer loyalty is established in two ways: firstly, through the possibility of "collecting miles" for the user or the passenger themselves. This often involves employees of companies who benefit individually from free flights. Secondly, through volume discounts for corporate clients, which are of crucial importance in business travel, as they do not directly benefit from the mileage credits. They make their decision based on the economic advantages they can achieve with additional or concentrated revenues from a provider of flight services.</w:t>
        <w:br/>
        <w:t>In this context, the decision division had to weigh the advantages and disadvantages of opening Lufthansa's Miles &amp; More customer loyalty program to EAE. On the one hand, it had to be considered that participation in this competitively significant marketing instrument can only partially compensate for the disadvantages faced by smaller competitors. Rather, the merger will enhance Lufthansa's dominance on the 67 monopoly routes in domestic air traffic and thus the potential for customer loyalty due to the comprehensive network effect and additional booking options for connecting flights. Disadvantages for smaller competitors such as Deutsche BA, which is active on only seven routes, are therefore to be expected.</w:t>
        <w:br/>
        <w:t>A relativization of the competitive advantage associated with the Miles &amp; More program, which is further strengthened in favor of the market leader, was therefore necessary.</w:t>
        <w:br/>
        <w:t>On the other hand, the expectations and behavior of customers also had to be taken into account.</w:t>
        <w:br/>
        <w:t>Given the recognition of the Miles &amp; More customer loyalty program, it can be assumed that there is an identification and association of Miles &amp; More with the Lufthansa brand when choosing an airline.</w:t>
        <w:br/>
        <w:t>A restriction of this undeniable competitive advantage - for example, through a ban on Miles &amp; More on certain routes in domestic air traffic - would, in the opinion of the decision division, only marginally and in the long term affect this long-established customer loyalty. A consumer reaction is expected to be minimal according to the decision division. This is because the incentive effect in favor of Lufthansa will persist in the long term due to the remaining advantages on other domestic routes, as well as European and intercontinental connections, and not just during a transitional period.</w:t>
        <w:br/>
        <w:t>A general or route-specific ban on Miles &amp; More could hardly compensate for the competitive disadvantages faced by competitors operating exclusively in domestic air traffic, such as EAE or Deutsche BA, who have less known or less attractive customer loyalty programs. The decision division has therefore opted, in line with its decision-making practice, to favor the opening of the Miles &amp; More customer loyalty program to all other providers operating in domestic air traffic. It also does not restrict Lufthansa's ability to negotiate its terms freely with large customers.</w:t>
        <w:br/>
        <w:t>7. The antitrust assessment of the cooperation between EAE, Lufthansa, and Eurowings (§ 1 GWB)</w:t>
        <w:br/>
        <w:t xml:space="preserve">The decision division also had to assess the antitrust relevance of individual provisions in the contract between Lufthansa, Eurowings, and EAE dated August 17, 2001, which could address competition law concerns under § 1 GWB. This particularly applies to the agreements made in § 1 No. 3 [...] and § 3 No. 1 [...]. </w:t>
        <w:br/>
        <w:t xml:space="preserve">Accordingly, Lufthansa and Eurowings commit to “[...] ( § 1 No. 3 of the contract). </w:t>
        <w:br/>
        <w:t xml:space="preserve">The agreements in § 3 (tariffs and prices) have the following wording: </w:t>
        <w:br/>
        <w:t>[“...“]</w:t>
        <w:br/>
        <w:t>For the antitrust assessment, it can remain open whether the agreements are even suitable to significantly restrict competition. In any case, they are materially necessary to achieve the purpose of the contract dated August 17, 2001 - the transfer of part of Eurowings' domestic flight services to EAE. The contract implements part of the conditions and obligations linked to the approval of the notified merger. The agreements to be examined do not therefore represent voluntary agreements made between the parties but are a consequence of the approval decision of the Federal Cartel Office. They are also temporally aligned - with regard to the duration of the contract - with the deadline imposed by the decision division, after which the competition protection to secure the market entry phase of EAE ends. This protection is from the</w:t>
      </w:r>
    </w:p>
    <w:p>
      <w:r>
        <w:rPr>
          <w:b/>
        </w:rPr>
        <w:t>[Pages 28–28]</w:t>
      </w:r>
    </w:p>
    <w:p>
      <w:r>
        <w:t>- 28 -</w:t>
        <w:br/>
        <w:t>The decision division explicitly intends this to compensate for the long-term market structure deteriorations associated with the merger and is therefore constitutive for the approval of the project. The conditions and obligations regime aims to facilitate the market entry of a new provider and thus improve the supply structure. The price and welfare behavior clause of the aforementioned contract has an economically similar effect and does not constitute a violation of § 1 GWB in light of the expected market-improving effect during the forecast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