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http://www.bundeskartellamt.de/SharedDocs/Entscheidung/DE/Entscheidungen/Fusionskontrolle/2000/B9-153-99.pdf;jsessionid=3E8EF08EAC982CADCEE3BB69FB1E600C.1_cid362?__blob=publicationFile&amp;v=3</w:t>
      </w:r>
    </w:p>
    <w:p>
      <w:r>
        <w:t>Pages translated : 11</w:t>
      </w:r>
    </w:p>
    <w:p/>
    <w:p>
      <w:r>
        <w:rPr>
          <w:b/>
        </w:rPr>
        <w:t>[Pages 1–3]</w:t>
      </w:r>
    </w:p>
    <w:p>
      <w:r>
        <w:t xml:space="preserve">BUNDESKARTELLAMT 53113 Bonn  </w:t>
        <w:br/>
        <w:t xml:space="preserve">9. DECISION DIVISION Kaiser-Friedrich-Str. 16  </w:t>
        <w:br/>
        <w:t xml:space="preserve">Telephone: (0228) 94 99-526  </w:t>
        <w:br/>
        <w:t xml:space="preserve">Central: (0228) 94 99-0  </w:t>
        <w:br/>
        <w:t xml:space="preserve">File No.: B 9 - 153/99 Fax: (0228) 94 99-166  </w:t>
        <w:br/>
        <w:t xml:space="preserve">Federal Cartel Office · Kaiser-Friedrich-Str. 16 31.03.2000  </w:t>
        <w:br/>
        <w:t xml:space="preserve">· 53113 Bonn  </w:t>
        <w:br/>
        <w:t xml:space="preserve">Boesebeck Droste  </w:t>
        <w:br/>
        <w:t xml:space="preserve">Attn: Mr. Attorney Dr. Hermanns For publication  </w:t>
        <w:br/>
        <w:t xml:space="preserve">Hildegundisallee 44  </w:t>
        <w:br/>
        <w:t>40667 Meerbusch</w:t>
      </w:r>
    </w:p>
    <w:p>
      <w:r>
        <w:t xml:space="preserve">MERGER PROCEDURE  </w:t>
        <w:br/>
        <w:t xml:space="preserve">ORDER PURSUANT TO § 40 ABS. 2  </w:t>
        <w:br/>
        <w:t>GWB</w:t>
      </w:r>
    </w:p>
    <w:p>
      <w:r>
        <w:t xml:space="preserve">¾  </w:t>
        <w:br/>
        <w:t>DECISION</w:t>
      </w:r>
    </w:p>
    <w:p>
      <w:r>
        <w:t xml:space="preserve">In the administrative procedure  </w:t>
        <w:br/>
        <w:t xml:space="preserve">1. Deutsche Post Aktiengesellschaft, Bonn  </w:t>
        <w:br/>
        <w:t xml:space="preserve">2. trans-o-flex Schnell Lieferdienst GmbH, Weinheim  </w:t>
        <w:br/>
        <w:t xml:space="preserve">-Participants-  </w:t>
        <w:br/>
        <w:t xml:space="preserve">-Authorized representatives of Participant 1:  </w:t>
        <w:br/>
        <w:t xml:space="preserve">Attorneys Boesebeck Droste  </w:t>
        <w:br/>
        <w:t xml:space="preserve">Berliner Allee 48  </w:t>
        <w:br/>
        <w:t>40212 Düsseldorf</w:t>
      </w:r>
    </w:p>
    <w:p>
      <w:r>
        <w:t>regarding the examination of a merger project, the 9th Decision Division of the Federal Cartel Office decided on March 21, 2000:</w:t>
      </w:r>
    </w:p>
    <w:p>
      <w:r>
        <w:t xml:space="preserve">Page 2 of the letter dated 31.03.2000  </w:t>
        <w:br/>
        <w:t xml:space="preserve">1. The merger project notified by letter dated October 8, 1999, received by the Federal Cartel Office on the same day, is not prohibited.  </w:t>
        <w:br/>
        <w:t xml:space="preserve">2. The interim order dated November 4, 1999 (B 9 - 64123 - U- 88/99) is revoked.  </w:t>
        <w:br/>
        <w:t>3. The fee for the notification is set at DM xxx (for information: EURO xxx) and is imposed on the parties 1 and 2 as joint debtors.</w:t>
      </w:r>
    </w:p>
    <w:p>
      <w:r>
        <w:t xml:space="preserve">Reasons  </w:t>
        <w:br/>
        <w:t xml:space="preserve">1. By letter dated October 8, 1999, received on the same day, Deutsche Post AG, Bonn (DP AG), notified that it intends to acquire sole control over the foreign subsidiaries of trans-o-flex Schnell Lieferdienst GmbH, Weinheim (tof).  </w:t>
        <w:br/>
        <w:t>2. By letter dated November 2, 1999, the participating companies were informed that the Federal Cartel Office has entered into the examination of the merger (main examination procedure) (notification pursuant to § 40 paragraph 1 GWB). By decision dated November 4, 1999, the Federal Cartel Office prohibited DP AG and tof, by way of an interim order pursuant to § 56 number 3 GWB old version in conjunction with § 131 paragraph 9 GWB new version in procedure B 9 - 64123 - U - 88/99, from spinning off the shares of the foreign investments of tof and/or transferring them to DP AG or to companies affiliated with it. By letter dated January 18, 2000, received on January 19, 2000, the applicant agreed to an extension of the examination period (§ 40 paragraph 2 number 1 GWB) until May 15, 2000.</w:t>
      </w:r>
    </w:p>
    <w:p>
      <w:r>
        <w:t xml:space="preserve">I. The participating companies and the project  </w:t>
        <w:br/>
        <w:t>3. DP AG is the parent company of the Deutsche Post AG Group and operates, among other things, in the area of domestic and international postal and parcel services, freight and express freight services, logistics services, and express delivery services. In 1998, it achieved worldwide sales revenues of approximately DM 28.7 billion, of which approximately DM 28.6 billion in the European Union and approximately DM 28.5 billion domestically. In the years 1999 and 2000, DP AG significantly expanded its position in the European and non-European markets in the area of parcel services and freight services through acquisitions. DP AG currently holds a stake of 24.8% of the share capital of tof.</w:t>
      </w:r>
    </w:p>
    <w:p>
      <w:r>
        <w:t xml:space="preserve">Page 3 of the letter dated 31.03.2000  </w:t>
        <w:br/>
        <w:t>4. A majority stake of 50.4% in tof is held by Industrial Information. The remaining shares in tof are held by a group of investors. Industrial Information is domiciled in Switzerland. Its sole corporate purpose is currently to hold the stake in tof. All shares in Industrial Information have been held since the end of 1999 by BayernFinanz Gesellschaft für Finanzmanagement und Beteiligungen mbH, Munich (BayernFinanz), a parity joint venture of Bayerische Landesbank Girozentrale and the Free State of Bavaria. BayernFinanz holds corporate investments in various sectors (e.g., AVA). However, besides the stake in tof, it does not hold any investments in companies from the postal sector. [........]</w:t>
      </w:r>
    </w:p>
    <w:p>
      <w:r>
        <w:t xml:space="preserve">The tof group includes various tof foreign subsidiaries:  </w:t>
        <w:br/>
        <w:t xml:space="preserve">a) trans-o-flex Schnell-Lieferdienst Ges.m.b.H  </w:t>
        <w:br/>
        <w:t xml:space="preserve">Viaduktstraße 20  </w:t>
        <w:br/>
        <w:t xml:space="preserve">A-2353 Guntramsdorf (hereinafter: tof-A)  </w:t>
        <w:br/>
        <w:t xml:space="preserve">b) trans-o-flex Gyorsfuvarozasi KFT  </w:t>
        <w:br/>
        <w:t xml:space="preserve">Szikratáviró út 17-21  </w:t>
        <w:br/>
        <w:t xml:space="preserve">H-1211 Budapest (hereinafter: tof-H)  </w:t>
        <w:br/>
        <w:t xml:space="preserve">c) Van Osselaer-Pieters Colli-Service B.V.B.A.  </w:t>
        <w:br/>
        <w:t xml:space="preserve">Industriepark West 65  </w:t>
        <w:br/>
        <w:t xml:space="preserve">B-9100 Sint-Niklaas (hereinafter: CS-B)  </w:t>
        <w:br/>
        <w:t xml:space="preserve">d) trans-o-flex N.V.  </w:t>
        <w:br/>
        <w:t xml:space="preserve">Industriepark West 65  </w:t>
        <w:br/>
        <w:t xml:space="preserve">B-9100 Sint-Niklaas (hereinafter: tof-B)  </w:t>
        <w:br/>
        <w:t xml:space="preserve">e) Correct Express Beheer B.V.  </w:t>
        <w:br/>
        <w:t xml:space="preserve">Fermiweg 24  </w:t>
        <w:br/>
        <w:t xml:space="preserve">NL-3542 CB Utrecht (hereinafter: tof-NL)  </w:t>
        <w:br/>
        <w:t xml:space="preserve">f) Casa di Spedizioni ascoli S.P.A.  </w:t>
        <w:br/>
        <w:t xml:space="preserve">Via G. Fantoli 6/3  </w:t>
        <w:br/>
        <w:t xml:space="preserve">I-20138 Milan (hereinafter: tof-I)  </w:t>
        <w:br/>
        <w:t xml:space="preserve">g) Alternativ Pakkepost Danmark A/S  </w:t>
        <w:br/>
        <w:t xml:space="preserve">Industridalen 9  </w:t>
        <w:br/>
        <w:t>DK-2635 Ishoj/ Denmark (hereinafter: tof-DK)</w:t>
      </w:r>
    </w:p>
    <w:p>
      <w:r>
        <w:rPr>
          <w:b/>
        </w:rPr>
        <w:t>[Pages 4–6]</w:t>
      </w:r>
    </w:p>
    <w:p>
      <w:r>
        <w:t>Page 4 of the letter dated 31.03.2000</w:t>
      </w:r>
    </w:p>
    <w:p>
      <w:r>
        <w:t>The tof group and the specifically listed tof foreign subsidiaries provide transport services and related services for corporate clients to predominantly commercial recipients in their respective countries of domicile and beyond in other European countries (business-to-business = b-to-b). The tof foreign subsidiaries transport not only packages of all sizes but also other partially heavy or bulky goods, which, if necessary, are "consolidated" on pallets and transported. In addition to pure transport services, tof provides a variety of special services depending on the customer (timely delivery, electronic shipment tracking, storage, warehousing). The total revenue of all tof foreign subsidiary companies amounts to DM [...] million (of which DM [...] million is intra-group revenue).</w:t>
      </w:r>
    </w:p>
    <w:p>
      <w:r>
        <w:t>II. Scope of the GWB</w:t>
      </w:r>
    </w:p>
    <w:p>
      <w:r>
        <w:t>5. The notified acquisition project meets the merger criteria of Article 3 paragraph 1 lit. b) of Regulation (EEC) No. 4046/89 as amended by Regulation (EC) No. 1310/97 (EC Merger Control Regulation - MKR), but lacks community-wide significance due to not reaching the relevant turnover thresholds of Article 1 in conjunction with Article 5 MKR. Thus, the notified project is subject to the provisions of the GWB according to § 35 paragraph 3 GWB. The revenues of all participating companies reach the turnover thresholds of § 35 paragraph 1 GWB; the tolerance clauses of § 35 paragraph 2 GWB do not apply. The merger project has effects in the domestic market. Although tof-B, CS-B, tof-NL, tof-I, and tof-DK generate their revenues, according to information provided by DP AG in the context of the notification of the acquisition of ASG AB (ASG) to the European Commission in mid-1999 (Case No. IV/M.1549), only in their respective countries of domicile, there is no information available regarding tof-H and tof-A in this regard. However, the tof foreign subsidiaries achieve, according to the applicant's information in this proceeding, a domestic revenue of DM [...] million without intra-group deliveries to tof and DM [...] million when including all revenues generated with tof. Furthermore, DP AG can round off its offering in the upper segment of foreign parcel delivery with the acquisition of the tof foreign subsidiaries. Since the possibility of deliveries to foreign countries is an important competitive factor for domestic parcel shipping, as it allows domestic business customers to be offered a service "from a single source" for their domestic and foreign shipments, the acquisition thus has domestic effects, regardless of the revenues generated domestically by the tof foreign subsidiaries.</w:t>
      </w:r>
    </w:p>
    <w:p>
      <w:r>
        <w:t>Page 5 of the letter dated 31.03.2000</w:t>
      </w:r>
    </w:p>
    <w:p>
      <w:r>
        <w:t>III. Merger</w:t>
      </w:r>
    </w:p>
    <w:p>
      <w:r>
        <w:t>6. DP AG intends to acquire all business shares of the tof foreign subsidiaries through its 100% subsidiary Deutsche Post B.V., Hoofddorp/Netherlands. Despite the already existing participation of DP AG in the share capital of tof amounting to 24.8%, the conditions of § 37 paragraphs 1 and 2 GWB are met. This is not an intra-group acquisition process, as tof cannot be counted towards the corporate group of DP AG due to the mere minority participation of DP AG. This also applies to the foreign subsidiaries of tof. However, the existing corporate connection between DP AG and the tof foreign subsidiaries is significantly strengthened by the acquisition of the foreign subsidiaries. DP AG gains sole direct control over the tof foreign subsidiaries instead of the indirect minority participation through tof, which corresponds to an (indirect) majority participation of BayernFinanz. After the acquisition and the spin-off of the tof foreign subsidiaries, no consideration or coordination with BayernFinanz is necessary anymore. Thus, the conditions of § 37 paragraph 2 GWB are fulfilled. The acquisition of the foreign subsidiaries therefore constitutes a control acquisition in the sense of § 37 paragraph 1 No. 2 in conjunction with paragraph 2 GWB. Despite the acquisition of various legally independent subsidiaries, it is a unified economic acquisition process that encompasses the entire foreign business of tof.</w:t>
      </w:r>
    </w:p>
    <w:p>
      <w:r>
        <w:t>IV. Competitive Assessment</w:t>
      </w:r>
    </w:p>
    <w:p>
      <w:r>
        <w:t>7. The merger project does not lead to the creation or strengthening of a dominant market position in any of the affected markets and thus does not meet the requirements for prohibition under § 36 paragraph 1 GWB.</w:t>
      </w:r>
    </w:p>
    <w:p>
      <w:r>
        <w:t>A. Relevant Product Markets</w:t>
      </w:r>
    </w:p>
    <w:p>
      <w:r>
        <w:t>8. The merger project concerns the following relevant product markets:</w:t>
        <w:br/>
        <w:t>a) international express freight</w:t>
        <w:br/>
        <w:t>b) national express freight</w:t>
        <w:br/>
        <w:t>c) national parcel service</w:t>
      </w:r>
    </w:p>
    <w:p>
      <w:r>
        <w:t>a) International Express Freight</w:t>
      </w:r>
    </w:p>
    <w:p>
      <w:r>
        <w:t>9. The market for international express freight services includes the cross-border shipment of transport goods over 70 kg, whose delivery is guaranteed by a certain time.</w:t>
      </w:r>
    </w:p>
    <w:p>
      <w:r>
        <w:t>Page 6 of the letter dated 31.03.2000</w:t>
      </w:r>
    </w:p>
    <w:p>
      <w:r>
        <w:t>According to DP AG, this market in Germany has a total volume of approximately DM 821 million.</w:t>
      </w:r>
    </w:p>
    <w:p>
      <w:r>
        <w:t>b) National Express Freight</w:t>
      </w:r>
    </w:p>
    <w:p>
      <w:r>
        <w:t>10. This market differs in terms of subject matter from the aforementioned only in that the shipments are not intended for recipients abroad, but exclusively for those within the country. The market volume amounts to approximately DM 1.6 billion.</w:t>
      </w:r>
    </w:p>
    <w:p>
      <w:r>
        <w:t>c) National Parcel Service</w:t>
      </w:r>
    </w:p>
    <w:p>
      <w:r>
        <w:t>11. The national parcel service is a sub-sector of courier, express, and parcel services (CEP). It can remain undecided whether the national parcel market should be further divided into independent markets for shipments for businesses and for shipments for private individuals, as in any conceivable market division, the possible dominant position of DP AG is not further strengthened by the acquisition of the foreign subsidiaries.</w:t>
      </w:r>
    </w:p>
    <w:p>
      <w:r>
        <w:t>B. Relevant Geographic Market</w:t>
      </w:r>
    </w:p>
    <w:p>
      <w:r>
        <w:t>12. The Federal Cartel Office and the European Commission have so far consistently assumed the existence of national markets. Due to the continued applicability of nationally different weight and transport regulations, there is currently no reason apparent that would justify a deviation from this practice. The relevant geographic market is thus each domestic market.</w:t>
      </w:r>
    </w:p>
    <w:p>
      <w:r>
        <w:t>C. Regarding the Question of the Creation or Strengthening of a Dominant Market Position</w:t>
      </w:r>
    </w:p>
    <w:p>
      <w:r>
        <w:t>a) International Express Freight</w:t>
      </w:r>
    </w:p>
    <w:p>
      <w:r>
        <w:t>13. DP AG had a share of [under 10%] (DM [...] million) in the total volume of DM 821 million. In this context, the results of affiliated companies that DP AG acquired in 1999 (Danzas, DHL, Securicor) have already been attributed to DP AG. In this area, tof achieved a revenue of DM [...] million with a market share of [more than 5%]. This results in a cumulative market share of approximately [under 15%]. Regarding the tof foreign subsidiaries, if the total revenue generated with tof of DM [...] million is added, an additional market share of [under 5%] would result. Thus, in international express freight services, the combined market share would be at most [under 20%]. Significant competitors are Federal Express and UPS.</w:t>
      </w:r>
    </w:p>
    <w:p>
      <w:r>
        <w:rPr>
          <w:b/>
        </w:rPr>
        <w:t>[Pages 7–9]</w:t>
      </w:r>
    </w:p>
    <w:p>
      <w:r>
        <w:t>Page 7 of the letter dated 31.03.2000</w:t>
      </w:r>
    </w:p>
    <w:p>
      <w:r>
        <w:t>14. As a result of the merger project, there will consequently be no competition-relevant deterioration in the structure in the area of international express freight services.</w:t>
      </w:r>
    </w:p>
    <w:p>
      <w:r>
        <w:t>b) National Express Freight</w:t>
      </w:r>
    </w:p>
    <w:p>
      <w:r>
        <w:t>15. In the area of national express freight, DP AG achieved a total revenue of DM [...] million through Koninklijke Nedlloyd N.V., which is attributable to it. With a market volume of approximately DM 1.6 billion, this corresponds to a market share of less than [1%]. With DM [...] million in revenue, tof achieved a market share of approximately [less than 2%]. If one assumes again that the tof foreign subsidiaries generated all internal group revenues in the German market but in the area of national express freight, namely DM [...] million (corresponding to [less than 2%] market share), a cumulative market share of a maximum of [under 5%] is calculated. The main market competitors are again Federal Express and UPS.</w:t>
      </w:r>
    </w:p>
    <w:p>
      <w:r>
        <w:t>16. The notified project would also not reach a critical market size in the area of national express freight, thus no competition-relevant deterioration in structure is to be expected.</w:t>
      </w:r>
    </w:p>
    <w:p>
      <w:r>
        <w:t>c) National Parcel Service</w:t>
      </w:r>
    </w:p>
    <w:p>
      <w:r>
        <w:t>17. The applicant only provides information on the market volume in the area of shipments from businesses to businesses (b to b). In 1998, a total of DM 4.383 billion was generated with national b-to-b parcel services. According to its own statements, DP AG achieved a revenue of DM [...] million, which corresponds to a market share of [under 15%]. Including the market share of tof of [under 15%] (total revenue: DM [...] million), the combined market share is [under 30%]. If one again includes the tof foreign subsidiaries with all internal group revenues (as generated in the German market but in the area of parcel services) amounting to DM [...] million, the combined market share increases by a maximum of [under 1%] to [under 30%].</w:t>
      </w:r>
    </w:p>
    <w:p>
      <w:r>
        <w:t>18. However, if one refers to a parcel market that includes both shipments from b-to-b and shipments from businesses to private individuals (b to c), DP AG achieves a market share of [over 30%] based on the revenues achieved, and tof of [under 10%] (together: [over 40%]). In relation to the total number of shipments (1.1 billion pieces), DP AG had [over 40%], and tof [under 10%] market share (together [over 50%]). This market share would only increase insignificantly by adding the revenues of the tof foreign subsidiaries.</w:t>
      </w:r>
    </w:p>
    <w:p>
      <w:r>
        <w:t>Page 8 of the letter dated 31.03.2000</w:t>
      </w:r>
    </w:p>
    <w:p>
      <w:r>
        <w:t>19. Competitors in the parcel service sector b to b and b to c are DPD with [...%] market share in revenue and [...%] in the number of shipments, UPS, which achieved [...% and ...%] market share, and German Parcel with [...% and ...%] market share.</w:t>
      </w:r>
    </w:p>
    <w:p>
      <w:r>
        <w:t>20. Even before the merger, DP AG, according to the current assessment of the Federal Cartel Office, holds a dominant market position in the area of parcel delivery. In addition to the high market shares in the area of b to b/b to c and its significant market share lead over other competitors, its superior position in the area of shipments of parcels from private individuals to private individuals (c to c) is crucial, which is at least to be assessed as a neighboring market. Furthermore, DP AG has substantial financial resources.</w:t>
      </w:r>
    </w:p>
    <w:p>
      <w:r>
        <w:t>However, this dominant market position will not be significantly strengthened by the merger project. On the one hand, it is only a small increase (+[under 1%]) in market shares; the tof foreign subsidiaries are almost exclusively active in their respective countries of domicile. The fictitious estimation of the internal group revenue as domestic revenue is merely to be seen as a worst-case consideration, but does not correspond to real market share increases. Although DP AG rounds off its service portfolio in the area of foreign services by acquiring the foreign subsidiaries of tof, it only gains access to a specific, high-priced segment of the foreign parcel market, not for the first time to this foreign market as such. DP AG has already been present in all affected markets due to previous acquisitions in the parcel sector. Thus, its position as a provider of domestic parcel services improves only marginally, as it can also reach those customers who demand domestic and foreign high-priced parcel shipping "from a single source." Finally, it should also be noted that the relevant revenues and market shares of tof, including those of its foreign subsidiaries, were already attributable to DP AG in the context of competitive considerations, as DP AG has at least co-dominated tof due to its 24.8% stake. Neither the previous owner of Industrial Information nor BayernFinanz as the current owner of Industrial Information has entrepreneurial experience and knowledge in the area of postal services. BayernFinanz holds the stake in tof solely for the purpose of selling it to a competitor in the parcel service sector. Thus, DP AG effectively has significantly greater influence over tof than is reflected in the amount of its stake.</w:t>
      </w:r>
    </w:p>
    <w:p>
      <w:r>
        <w:t>Page 9 of the letter dated 31.03.2000</w:t>
      </w:r>
    </w:p>
    <w:p>
      <w:r>
        <w:t>c) Overall Consideration</w:t>
      </w:r>
    </w:p>
    <w:p>
      <w:r>
        <w:t>21. For the aforementioned reasons, the emergence of a dominant market position in the markets of national and international express freight can be excluded, and for the area of national parcel services, the strengthening of a dominant market position through the merger can also be excluded.</w:t>
      </w:r>
    </w:p>
    <w:p>
      <w:r>
        <w:t>V. Interim Order pursuant to § 56 GWB a.F. in conjunction with § 131 paragraph 9 GWB n.F.</w:t>
      </w:r>
    </w:p>
    <w:p>
      <w:r>
        <w:t>22. The interim order dated November 4, 1999, was to be revoked. The assessment of the Federal Cartel Office that the sale of the foreign subsidiaries by the tof, which is dominated by DP AG, significantly jeopardizes the continued existence of tof as an independent competitor was decisive for the issuance of the interim order. According to the Federal Cartel Office, a provider in the area of parcel shipping can only achieve a relevant market share in the domestic market if it can also rely on a network of companies operating abroad.</w:t>
      </w:r>
    </w:p>
    <w:p>
      <w:r>
        <w:t>BayernFinanz, which acquired the majority stake in tof during the proceedings, considers the sale of the tof foreign subsidiaries to be necessary. Thus, the Federal Cartel Office no longer sees the need to further secure the existence of tof by maintaining the interim order. The opinion of BayernFinanz is crucial for the assessment of tof's market opportunities. It holds the tof shares at [...] and bears the full economic risk [...]. Since the Federal Cartel Office has no indications that BayernFinanz is acting solely in the interest of DP AG, it has no reason to assume that tof could be weakened in the interest of DP AG. The maintenance of the interim order was therefore no longer necessary.</w:t>
      </w:r>
    </w:p>
    <w:p>
      <w:r>
        <w:t>VI. Summary</w:t>
      </w:r>
    </w:p>
    <w:p>
      <w:r>
        <w:t>23. For the aforementioned reasons, the Federal Cartel Office has decided to approve the notified merger project and to revoke the interim order. This decision is issued pursuant to § 40 Abs. 2 sentence 1 GWB.</w:t>
      </w:r>
    </w:p>
    <w:p>
      <w:r>
        <w:rPr>
          <w:b/>
        </w:rPr>
        <w:t>[Pages 10–11]</w:t>
      </w:r>
    </w:p>
    <w:p>
      <w:r>
        <w:t>Page 10 of the letter dated 31.03.2000</w:t>
      </w:r>
    </w:p>
    <w:p>
      <w:r>
        <w:t>Fees</w:t>
      </w:r>
    </w:p>
    <w:p>
      <w:r>
        <w:t>The notification of the merger pursuant to § 39 Abs. 1 GWB is subject to fees in accordance with § 80 Abs. 1 No. 1 GWB. The cartel authority may charge fees of up to DM 100,000, and in cases of particularly significant economic importance and exceptionally high administrative effort, up to DM 200,000 (§ 80 Abs. 2 S. 2 No. 1 in conjunction with S. 3 GWB). The amount of the fee is determined by the personnel and material effort of the cartel authority, taking into account the economic significance of the subject matter of the fee-liable action. Among the mentioned criteria, the economic significance carries the greatest weight. It is derived from the amount of domestic revenue of the participating companies in the market affected by the merger and the expected economic benefits of the future cooperation in the domestic market. If the economic significance determined by these criteria corresponds to the average, a medium fee is generally appropriate. This amounts to DM 50,000 according to the currently applicable fee framework.</w:t>
      </w:r>
    </w:p>
    <w:p>
      <w:r>
        <w:t>xxx</w:t>
      </w:r>
    </w:p>
    <w:p>
      <w:r>
        <w:t>The debtors of the fee are the parties 1 and 2 as the applicants of the merger project. They are jointly liable (§ 80 Abs. 6 S. 1 No. 1 in conjunction with S. 3 GWB). The fee is due upon delivery of this decision and must be transferred within one month after delivery to the account of</w:t>
      </w:r>
    </w:p>
    <w:p>
      <w:r>
        <w:t xml:space="preserve">Bundeskasse Berlin  </w:t>
        <w:br/>
        <w:t xml:space="preserve">Account No. 100 010 18  </w:t>
        <w:br/>
        <w:t xml:space="preserve">at the Landeszentralbank in Berlin and Brandenburg, 10625 Berlin  </w:t>
        <w:br/>
        <w:t>Bank Code 100 000 00</w:t>
      </w:r>
    </w:p>
    <w:p>
      <w:r>
        <w:t>unless another method of payment is chosen. Please ensure to indicate "BKartA - Title 11101" as the purpose of use, as well as the above reference number and the date of the decision.</w:t>
      </w:r>
    </w:p>
    <w:p>
      <w:r>
        <w:t>If the fee is not fully paid by the end of one month after the date of delivery, a late fee of one percent of the outstanding amount will be charged for each commenced month of delay. Generally, bank fees apply for transfers from abroad. In this case, it must be ensured that the full fee is credited to the account of the Bundeskasse Berlin.</w:t>
      </w:r>
    </w:p>
    <w:p>
      <w:r>
        <w:t>Page 11 of the letter dated 31.03.2000</w:t>
      </w:r>
    </w:p>
    <w:p>
      <w:r>
        <w:t>The expenses for the necessary announcement in the Federal Gazette will be charged separately (§§ 42 No. 2, 80 Abs. 1 S. 3 GWB).</w:t>
      </w:r>
    </w:p>
    <w:p>
      <w:r>
        <w:t>Legal Remedies</w:t>
      </w:r>
    </w:p>
    <w:p>
      <w:r>
        <w:t>Against this decision, the parties involved in the proceedings may only appeal regarding the fee assessment. The appeal must be submitted in writing within a period of one month starting from the delivery of the decision to the Bundeskartellamt, Kaiser-Friedrich-Straße 16, 53113 Bonn. However, it is sufficient if it is received within the period by the appellate court, the Higher Regional Court of Düsseldorf. The appeal must be substantiated. The period for substantiating the appeal is one month. It begins with the filing of the appeal and can be extended upon request by the presiding judge of the appellate court. The appeal must contain a statement indicating to what extent the decision is being contested and the modification or annulment is being requested, and must specify the facts and evidence on which the appeal is based. The appeal and its justification must be signed by a lawyer admitted to a German court (§§ 63, 66 GWB).</w:t>
      </w:r>
    </w:p>
    <w:p>
      <w:r>
        <w:t>.............................. .............................. ..............................</w:t>
        <w:br/>
        <w:t>Ruppelt Wagner Schulze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