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http://www.bundeskartellamt.de/SharedDocs/Entscheidung/EN/Fallberichte/Fusionskontrolle/2014/B9-154-14.pdf;jsessionid=0AD00CB0CFA2C4CF95F0F084589CCB48.2_cid378?__blob=publicationFile&amp;v=2</w:t>
      </w:r>
    </w:p>
    <w:p>
      <w:r>
        <w:t>Pages translated : 3</w:t>
      </w:r>
    </w:p>
    <w:p/>
    <w:p>
      <w:r>
        <w:rPr>
          <w:b/>
        </w:rPr>
        <w:t>[Pages 1–3]</w:t>
      </w:r>
    </w:p>
    <w:p>
      <w:r>
        <w:t xml:space="preserve">1  </w:t>
        <w:br/>
        <w:t xml:space="preserve">Case Summary January 2015  </w:t>
        <w:br/>
        <w:t xml:space="preserve">Clearance of the merger of the rail wagon hire companies VTG and AAE  </w:t>
        <w:br/>
        <w:t xml:space="preserve">Sector: Rail wagon hire  </w:t>
        <w:br/>
        <w:t xml:space="preserve">File reference: B9-154/14  </w:t>
        <w:br/>
        <w:t xml:space="preserve">Date of Decision: 4 December 2014  </w:t>
        <w:br/>
        <w:t xml:space="preserve">The Bundeskartellamt has cleared the acquisition of Ahaus-Alstätter Eisenbahn Holding AG, Baar in Switzerland ("AAE") by VTG AG, Hamburg ("VTG"), in the first phase of merger control. At the same time, it cleared the acquisition of a minority shareholding in VTG by the former principal shareholder of AAE, Mr. Andreas Goer. The merger was not expected to significantly impede effective competition in the markets affected. Even based on a narrow market definition, the parties' scope of action will still be sufficiently limited. Competitive pressure is exerted by other suppliers in the market and also to a limited extent by companies active on the downstream market for freight forwarding and transport services and on the neighbouring markets for the transport of goods by road and ship.  </w:t>
        <w:br/>
        <w:t xml:space="preserve">The merger concerns rail logistic services, especially the rental of rail wagons. VTG is divided into three business divisions: wagon rental, (miscellaneous) rail logistics, and tank container logistics. AAE is mainly active in the rental of rail wagons. On the one hand, rail wagons are hired by rail transport companies and other logistic services providers. However, they are also hired by industrial companies which themselves organise the further transport of their goods and procure wagons and traction services (i.e., locomotives) for this purpose separately.  </w:t>
        <w:br/>
        <w:t>As the wagon fleets of both companies consist to a large extent of different types of freight cars, the merger is largely complementary in nature. A distinction has to be made between so-called conventional goods wagons and container wagons. The latter are used in combined transportation, i.e., for forwarding or transport purposes where the containers can be transported by rail, road, or ship. Depending on their design and the goods to be transported, the conventional goods wagons can be categorised into different types of wagons, e.g., tank wagons, bulk wagons, and open and covered freight cars. However, a precise definition of the product markets for the hire of wagons was not necessary in this case because neither the complete market for wagon hire nor the narrowest conceivable market definition posed competition concerns.</w:t>
      </w:r>
    </w:p>
    <w:p>
      <w:r>
        <w:t xml:space="preserve">2  </w:t>
        <w:br/>
        <w:t xml:space="preserve">The geographic market is Europe-wide because the wagons are used across borders and are transported by the hire companies to their customers across Europe. However, those countries using different track widths (e.g., Russian broad-gauge) are not included in the relevant market. VTG holds a strong position in the market for specific types of conventional goods wagons, also via its holding company Transwaggon, in which it holds 50% of the shares. However, this does not apply to wagons for combined transport. VTG only has a few of these wagons. However, a large share of AAE's fleet consists of wagons for combined transport. As a result of the merger, VTG will be able to expand its offer and close a gap in its service portfolio. Nevertheless, the merger has created some overlaps between the fleets of both parties to the merger, which the Bundeskartellamt had to closely examine. These mainly apply to the covered freight cars, in particular the freight cars with partition walls. These are used to transport weather-sensitive goods such as paper rolls, palleted goods, and heavy motor vehicle parts such as gearboxes or engines.  </w:t>
        <w:br/>
        <w:t xml:space="preserve">Irrespective of its exact product market definition, the market for the hire of rail wagons is characterised by the fact that a large proportion of the goods wagons belong to Deutsche Bahn AG and state or formerly state-owned railway companies in the other European countries. By comparison, the so-called private wagon hire companies, including the parties to the merger, only own a relatively low number of wagons. In the Bundeskartellamt's view, there are good reasons not to include the wagon fleets of Deutsche Bahn AG and the other state railways in the relevant market. The state railways need the wagons themselves and are therefore only willing to rent them out in exceptional cases. Moreover, some of the industrial customers do not regard the state railways as possible suppliers because they prefer to remain completely free and independent of them in their procurement of traction services. On the other hand, the strong position of the state railways on the downstream markets for forwarding and transport services needs to be taken into account in assessing the effects of the merger on competition.  </w:t>
        <w:br/>
        <w:t xml:space="preserve">If a possible narrow market for the rental of covered freight cars is defined which excludes the state railway companies and their fleets of wagons, the merger would lead to a high combined market share as a result of significant overlaps. Nevertheless, the merger was not expected to significantly impede effective competition because the scope for competitive action of the parties will also be sufficiently limited post-merger. In addition to the parties to the merger, several other suppliers are active on the market, albeit with much lower market shares than the merged companies. The state railway companies could also enter the market at any given time if spare capacity is available. Furthermore, given the fact that they have by far the largest fleets of wagons, the strong position of these companies on the downstream market for forwarding and transport services needs to be taken into consideration. The state railway companies exert a certain degree of competitive pressure on the parties to the merger because industrial customers at any rate have the possibility to procure transport services completely from one source (either from the state railway companies or their competitors) on the downstream market instead of hiring wagons and traction services separately. The parties also face competitive pressure from the neighbouring markets, e.g., transport by road or by water. The strong position of the large industrial and logistics companies on the demand side also needs to be taken into account.  </w:t>
        <w:br/>
        <w:t>Ultimately, the merger was not expected to significantly impede effective competition. The same is true of another area of market overlap, i.e., possible markets for the hire of wagons for the transport of steel or wood, which does not raise any competition concerns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