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http://www.bundeskartellamt.de/SharedDocs/Entscheidung/DE/Entscheidungen/Fusionskontrolle/1999/B9-184-98.pdf;jsessionid=9C4C049730232B41B7A0C25F03BDA341.1_cid371?__blob=publicationFile&amp;v=3</w:t>
      </w:r>
    </w:p>
    <w:p>
      <w:r>
        <w:t>Pages translated : 21</w:t>
      </w:r>
    </w:p>
    <w:p/>
    <w:p>
      <w:r>
        <w:rPr>
          <w:b/>
        </w:rPr>
        <w:t>[Pages 1–3]</w:t>
      </w:r>
    </w:p>
    <w:p>
      <w:r>
        <w:t xml:space="preserve">Bundeskartellamt Berlin, January 13, 1999  </w:t>
        <w:br/>
        <w:t xml:space="preserve">9th Decision Division  </w:t>
        <w:br/>
        <w:t xml:space="preserve">D I S P O S I T I O N  </w:t>
        <w:br/>
        <w:t xml:space="preserve">In the merger control proceeding  </w:t>
        <w:br/>
        <w:t xml:space="preserve">B 9-184/98  </w:t>
        <w:br/>
        <w:t xml:space="preserve">1. CP Ships Holdings, Inc., Ontario/Canada;  </w:t>
        <w:br/>
        <w:t xml:space="preserve">2. Transportacion Maritima Mexicana S.A. de C.V., Mexico;  </w:t>
        <w:br/>
        <w:t xml:space="preserve">Establishment of a joint venture for  </w:t>
        <w:br/>
        <w:t xml:space="preserve">liner freight shipping  </w:t>
        <w:br/>
        <w:t xml:space="preserve">the 9th Decision Division has decided on January 13, 1999:  </w:t>
        <w:br/>
        <w:t xml:space="preserve">1. The notified merger project is approved under the suspensive condition that Transportacion Maritima Mexicana S.A. de C.V. and all companies affiliated with it terminate their membership in the Mexican Section of the Association of West India Trans-Atlantic Steam Ship Lines (WITASS) and all agreements made in this context.  </w:t>
        <w:br/>
        <w:t xml:space="preserve">2. The approval is subject to the condition that Transportacion Maritima Mexicana S.A. de C.V., C.P. Ships Holdings Inc., and the companies affiliated with them do not become (again) members of the Mexican Section of the Association of West India Trans-Atlantic Steam Ship Lines or any other shipping conference for the trade area Northern Europe/Mexico.  </w:t>
        <w:br/>
        <w:t>Reasons</w:t>
      </w:r>
    </w:p>
    <w:p>
      <w:r>
        <w:t xml:space="preserve">PAGE 2  </w:t>
        <w:br/>
        <w:t xml:space="preserve">I. Notification  </w:t>
        <w:br/>
        <w:t xml:space="preserve">1. CP Ships Holdings, Inc., Ontario/Canada (hereinafter CP Ships) and Transportacion Maritima Mexicana, S.A. de C.V., Mexico (hereinafter TMM) notified their intention to establish a joint venture on October 14, 1998, which was received by the Bundeskartellamt on October 16, 1998, to consolidate some of their overseas liner freight services. By letter dated October 26, 1998, delivered on October 28, 1998, the parties were informed that the Bundeskartellamt had commenced its examination of the merger.  </w:t>
        <w:br/>
        <w:t xml:space="preserve">II. The Parties  </w:t>
        <w:br/>
        <w:t xml:space="preserve">2. CP Ships is indirectly dependent on Canadian Pacific Ltd., Ontario/Canada, which achieved a consolidated total revenue of approximately 11.9 billion DM1 in 1997 from its business areas of mining, oil and gas, hotels, railway transport, and liner freight shipping (via CP Ships).  </w:t>
        <w:br/>
        <w:t xml:space="preserve">CP Ships is a holding company under which a total of five container shipping lines (Lykes Lines Ltd., Ivaran Lines Ltd., Cast Line, Canada Maritime, Contship Containerlines Ltd.) and a container handling operation in the Port of Montreal are operated. The container shipping lines primarily operate between Europe, America (North and South), and Canada. C.P. Ships and its subsidiaries generated approximately 1.7 billion DM2 in 1998. In Germany, revenues of approximately 282.7 million DM3 were achieved.  </w:t>
        <w:br/>
        <w:t xml:space="preserve">3. TMM, the former national Mexican shipping company, is now a diversified transport group with a consolidated total revenue of approximately 1.6 billion DM4 (1997). The shares of the company are held 52.5% (via Grupo Servia S.A.) by the Serrano family.  </w:t>
        <w:br/>
        <w:t xml:space="preserve">In liner freight shipping, TMM operates itself and with the subsidiaries Tecomar Ltd., Mexicana Line Ltd., Linea Maritima Mexicana, S.A. de C.V., Grupo Optimus S.A. de C.V., Transportacion Maritima Grancolombiana, Trans American Steamship Agency, Maritime Services Ltd., and Compania Transatlantica Espanola S.A. Its focus is on liner freight services between Mexico and other Latin American countries, North America, and Europe. TMM generated revenues of approximately 1.2 billion DM5 in liner freight shipping in 1997. Of this, approximately 32.8 million DM6 were attributable to Germany.  </w:t>
        <w:br/>
        <w:t xml:space="preserve">Furthermore, TMM is engaged in rail freight transport (within Mexico as well as between Mexico and Texas), road freight transport, and logistics.  </w:t>
        <w:br/>
        <w:t xml:space="preserve">III. The Merger Project  </w:t>
        <w:br/>
        <w:t xml:space="preserve">4. CP Ships and TMM intend to establish a joint venture based in Bermuda, which is to function as a holding company. All shipping line activities from TMM and Lykes Lines, Ivaran Lines, as well as the freight shipping activities of Contship Containerlines in the area of Mexico/U.S. Gulf and Pacific Coast/Europe are to be contributed to the holding. The focus of the joint venture's activities will thus be on international liner sea transport services for container freight between Europe, Mexico, and the southern U.S. The shipping services are to continue as independent legal entities with separate distribution channels despite the joint venture.  </w:t>
        <w:br/>
        <w:t xml:space="preserve">IV. Merger Subject to Control under the GWB  </w:t>
        <w:br/>
        <w:t xml:space="preserve">5 670 million US$.  </w:t>
        <w:br/>
        <w:t>6 18.9 million US$.</w:t>
      </w:r>
    </w:p>
    <w:p>
      <w:r>
        <w:rPr>
          <w:b/>
        </w:rPr>
        <w:t>[Pages 4–6]</w:t>
      </w:r>
    </w:p>
    <w:p>
      <w:r>
        <w:t>PAGE 4</w:t>
      </w:r>
    </w:p>
    <w:p>
      <w:r>
        <w:t>5. The merger project fulfills the merger criteria of § 37 para. 1 no. 2, no. 3 sentence 1 a), sentence 3 GWB (or § 23 para. 2 sentence 1 no. 2 b), sentence 3 GWB old version). It is subject to preventive control due to the worldwide and domestic revenues of Canadian Pacific Limited/CP Ships (§ 35 para. 1 no. 1 and 2 GWB in conjunction with § 36 para. 2, § 39 para. 1 GWB or § 24a para. 1 sentence 2 no. 1 GWB old version in conjunction with § 23 para. 1 sentence 2 GWB old version). The Act Against Restraints of Competition is applicable pursuant to § 130 para. 2 GWB (or § 98 para. 2 sentence 1 GWB old version) as (and to the extent that) the project has domestic effects (see below para. 10 and 12). The applicability of the Act Against Restraints of Competition is not precluded by § 35 para. 3 GWB, as the merger does not have a community-wide significance within the meaning of Article 1 para. 2 and 3 of the Merger Control Regulation.</w:t>
      </w:r>
    </w:p>
    <w:p>
      <w:r>
        <w:t>V. Relevant Product Market</w:t>
      </w:r>
    </w:p>
    <w:p>
      <w:r>
        <w:t>6. The project concerns, in terms of product, the market for containerized liner shipping services (i.e. international liner sea transport services for container freight). In this market, regular, reliable, and often high-frequency sea transport services for containers (intermodal containers with standard dimensions of 20 or 40 feet) are offered, regardless of specific demanders. In very highly developed trades such as the transatlantic trade primarily affected here, freight is largely containerized; the most significant services are handled with pure container ships. As the Commission of the European Communities has repeatedly stated, containerized liner freight shipping offers specific advantages for shippers (in particular regularity, reliability, and speed of transport, greater cargo security during transport and handling, correspondingly lower packaging and insurance costs, easier handling in ports, and faster and safer port pre- and post-haulage through intermodal transport), due to which other sea transport services (in particular irregular tramp shipping services, so-called "break bulk" transports without containerization, and special transports for individual shippers with long-term high-volume transport needs) do not represent an equivalent alternative for the vast majority of customers for the transport of containerizable goods. Therefore, it constitutes a distinct product market.</w:t>
      </w:r>
    </w:p>
    <w:p>
      <w:r>
        <w:t>VI. Relevant Geographic Markets</w:t>
      </w:r>
    </w:p>
    <w:p>
      <w:r>
        <w:t>7. Geographically, the project focuses on the area of liner services between a) the ports of the Mediterranean region and Northern Europe on the one hand and b) the ports of Mexico and the Gulf/East Coast of the USA on the other hand. Thus, it primarily affects (i) the market for liner services between the Mediterranean ports and Mexico and (ii) the market for liner services between Northern Europe and Mexico/U.S. Gulf Coast.</w:t>
      </w:r>
    </w:p>
    <w:p>
      <w:r>
        <w:t>8. The Mediterranean ports and the ports of Northern Europe are, from the perspective of European freight shippers/receivers, only to a limited extent interchangeable due to the costs of land transport and the long duration of overall transport, especially since the infrastructure of the Mediterranean ports is limited and port services there are more expensive than in Northern European ports. Although, according to the findings of the Commission, a service offered via Northern Europe may be of interest to certain Southern European, particularly Northern Italian shippers; conversely, Northern European shippers hardly utilize transport services via the Mediterranean ports. In accordance with the Commission's practice, there are essentially separate geographic markets here with minor substitution relationships.</w:t>
      </w:r>
    </w:p>
    <w:p>
      <w:r>
        <w:t>9. The ports of Mexico and the ports of the U.S. Gulf Coast are to be regarded as sufficiently interchangeable in container freight traffic between Northern Europe and Mexico to justify the assumption of a single geographic market. In 1997, approximately 10% of the overseas containers transported between Northern Europe and Mexico were handled through ports of the U.S. Gulf Coast - primarily Houston/Texas. It is evident that this share will increase in the foreseeable future. Although handling in Houston or other ports of the U.S. Gulf Coast is unlikely to be considered for goods from/to the southern part of Mexico, as the duration of land transport significantly extends the overall transport time compared to handling in the Mexican ports of Altamira, Tampico, Veracruz, Coatzacoalcos, and Progreso. However, the distance between the Gulf Coast ports of the USA and the eastern hinterland of Mexico is not significantly greater than that between the more easterly Gulf Coast ports of Mexico (Tampico and Veracruz) and the hinterland in eastern Mexico. The fact that relatively little container freight is still handled from/to Mexico via the Gulf Coast ports of the USA is primarily due to deficiencies in hinterland connectivity. A continuous railway connection between Houston and Mexico does not yet exist. Container transport is therefore mainly conducted over the road. However, truck transport entails significant uncertainties, especially due to the administrative and technical problems associated with crossing the border in northeastern Mexico (Laredo). As the parties correctly argue, the increasing interconnection of U.S.</w:t>
      </w:r>
    </w:p>
    <w:p>
      <w:r>
        <w:rPr>
          <w:b/>
        </w:rPr>
        <w:t>[Pages 7–9]</w:t>
      </w:r>
    </w:p>
    <w:p>
      <w:r>
        <w:t>PAGE 7</w:t>
      </w:r>
    </w:p>
    <w:p>
      <w:r>
        <w:t>American and the Mexican economy within the framework of the North American Free Trade Agreement (NAFTA) is expected to lead not only to further improvements in road infrastructure but also to the progressive reduction of bureaucratic obstacles to the movement of goods. The establishment of a continuous "cross border" railway connection by TMM is also emerging. The company already operates freight trains under the name Tex Mex between Corpus Christi and the border station Laredo, as well as under the name TFM between Laredo and part of the Mexican hinterland. Currently, TMM is working on obtaining a final license for railway traffic on the Houston/Laredo route; the company has already received a provisional license. Once the final license is granted, TMM will establish a continuous rail container service between Houston and the Mexican hinterland.</w:t>
      </w:r>
    </w:p>
    <w:p>
      <w:r>
        <w:t>These developments allow for the forecast that the already significant number of shippers who consider the ports of the U.S. Gulf Coast (especially Houston) to be as suitable for the handling of containers in the Northern Europe/Mexico traffic as Mexican ports will increase. This is evidently also the expectation of the major shipping companies COSCO, "K"-Line, and Yangming, which have newly included the port of Houston in their joint transatlantic service in October 1998 to also cover the Mexican market.</w:t>
      </w:r>
    </w:p>
    <w:p>
      <w:r>
        <w:t>VII. The market for containerized liner shipping services between Mediterranean ports and Mexico</w:t>
      </w:r>
    </w:p>
    <w:p>
      <w:r>
        <w:t>10. The competitive effects of the project in this market cannot be captured under German merger control law pursuant to § 130 para. 2 GWB, as there is a lack of direct and sufficiently concrete domestic effects. For the reasons outlined above in para. 8, routing via Mediterranean ports is generally not attractive for Northern European shippers/recipients of Mexican freight. This is particularly true due to the geographical location of Germany, the capacity of German seaports, and the quality of hinterland connections in particular for German recipients/senders. It can therefore largely be excluded that freight with origin/destination Germany in the Mexico traffic is routed via Mediterranean ports.</w:t>
      </w:r>
    </w:p>
    <w:p>
      <w:r>
        <w:t>VIII. The market for containerized liner shipping services between Northern Europe and Mexico/U.S. Gulf Coast</w:t>
      </w:r>
    </w:p>
    <w:p>
      <w:r>
        <w:t>11. In the market for containerized liner shipping services between the ports of Northern Europe and Mexico or the U.S. Gulf Coast, the merger is expected to establish a dominant market position for the parties involved, so that the conditions for prohibition under § 36 para. 1 sentence 1 GWB are met.</w:t>
      </w:r>
    </w:p>
    <w:p>
      <w:r>
        <w:t>12. German merger control law applies here pursuant to § 130 para. 2 GWB, as the anti-competitive effects of the merger project are also directly noticeable within the scope of application of the GWB. A significant portion of the container traffic in the goods trade between Northern Europe and Mexico is accounted for by German shippers/recipients and is handled in German seaports (Bremen/Bremerhaven and Hamburg). Of the total xxx.xxx TEU shipped between Northern Europe and Mexico in 1997, xx.xxx TEU, or nearly 39%, were handled in German seaports. Of the xx.xxx TEU that were handled through German seaports, TMM transported xx.xxx TEU (approximately xx%) and CP Ships (Lykes) x.xxx TEU (approximately xx%). Thus, the merger leads to a combined share of the parties of xx.xxx TEU (approximately xx%+) of the total containers handled in German seaports with origin or destination Mexico.</w:t>
      </w:r>
    </w:p>
    <w:p>
      <w:r>
        <w:t>13. The market volume (i.e., the total transport volume in container traffic Northern Europe/Mexico, including the quantities effectively handled through U.S. ports) was xxx.xxx TEU in 1997. Of this, xxx.xxx TEU were accounted for by westbound traffic (with origin Northern Europe and destination Mexico) and xx.xxx TEU by eastbound traffic (with origin Mexico and destination Northern Europe).</w:t>
      </w:r>
    </w:p>
    <w:p>
      <w:r>
        <w:t>14. The shipping companies listed below transported over 90% of the freight volume in the market from 1995 to 1997:</w:t>
      </w:r>
    </w:p>
    <w:p>
      <w:r>
        <w:rPr>
          <w:b/>
        </w:rPr>
        <w:t>[Pages 10–12]</w:t>
      </w:r>
    </w:p>
    <w:p>
      <w:r>
        <w:t>SEITE 10</w:t>
      </w:r>
    </w:p>
    <w:p>
      <w:r>
        <w:t xml:space="preserve">(1) Northern Europe - Mexico/U.S. Gulf Coast ("westbound")  </w:t>
        <w:br/>
        <w:t xml:space="preserve">(Volume 1997: xxx.xxx TEU)  </w:t>
        <w:br/>
        <w:t xml:space="preserve">1995 1996 1997  </w:t>
        <w:br/>
        <w:t xml:space="preserve">TMM* xx,x % xx,x % xx,x %  </w:t>
        <w:br/>
        <w:t xml:space="preserve">CP Ships (Lykes/Contship/Ivaran) xx,x % x,x % xx,x %  </w:t>
        <w:br/>
        <w:t xml:space="preserve">Hapag Lloyd* xx,x % xx,x % xx,x %  </w:t>
        <w:br/>
        <w:t xml:space="preserve">Sealand x,x % x,x % x,x %  </w:t>
        <w:br/>
        <w:t xml:space="preserve">CGM* x,x % x,x % x,x %  </w:t>
        <w:br/>
        <w:t xml:space="preserve">Deppe Line x,x % x,x % x,x %  </w:t>
        <w:br/>
        <w:t xml:space="preserve">Stinnes* x,x % x,x % x,x %  </w:t>
        <w:br/>
        <w:t xml:space="preserve">Evergreen x,x % x,x % x,x %  </w:t>
        <w:br/>
        <w:t xml:space="preserve">MECL x,x % x,x % x,x %  </w:t>
        <w:br/>
        <w:t xml:space="preserve">Total  </w:t>
        <w:br/>
        <w:t>TMM + CP Ships: xx,x % + xx,x % + xx,x % +</w:t>
      </w:r>
    </w:p>
    <w:p>
      <w:r>
        <w:t xml:space="preserve">(2) Mexico/U.S. Gulf Coast - Northern Europe ("eastbound")  </w:t>
        <w:br/>
        <w:t xml:space="preserve">(Volume 1997: xx.xxx TEU)  </w:t>
        <w:br/>
        <w:t xml:space="preserve">1995 1996 1997  </w:t>
        <w:br/>
        <w:t xml:space="preserve">TMM* xx,x % xx,x % xx,x %  </w:t>
        <w:br/>
        <w:t xml:space="preserve">CP Ships (Lykes/Contship/Ivaran) x,x % x,x % xx,x %  </w:t>
        <w:br/>
        <w:t xml:space="preserve">Hapag Lloyd* xx,x % xx,x % xx,x %  </w:t>
        <w:br/>
        <w:t xml:space="preserve">Sealand x,x % x,x % x,x %  </w:t>
        <w:br/>
        <w:t xml:space="preserve">P&amp;O Containers x,x % x,x % x,x %  </w:t>
        <w:br/>
        <w:t xml:space="preserve">CGM* x,x % x,x % x,x %  </w:t>
        <w:br/>
        <w:t xml:space="preserve">Deppe Line x,x % x,x % x,x %  </w:t>
        <w:br/>
        <w:t xml:space="preserve">Stinnes* x,x % x,x % x,x %  </w:t>
        <w:br/>
        <w:t xml:space="preserve">Evergreen x,x % x,x % x,x %  </w:t>
        <w:br/>
        <w:t xml:space="preserve">MECL x,x % x,x % x,x %  </w:t>
        <w:br/>
        <w:t xml:space="preserve">Total  </w:t>
        <w:br/>
        <w:t xml:space="preserve">TMM + CP Ships xx,x % ++ xx,x % +++ xx,x % +++  </w:t>
        <w:br/>
        <w:t xml:space="preserve">* Member of WITASS (Mexican Section).  </w:t>
        <w:br/>
        <w:t xml:space="preserve">+ Between 60 % and 70 %.  </w:t>
        <w:br/>
        <w:t>++ Between 55 % and 65 %.</w:t>
      </w:r>
    </w:p>
    <w:p>
      <w:r>
        <w:t>SEITE 11</w:t>
      </w:r>
    </w:p>
    <w:p>
      <w:r>
        <w:t>15. Therefore, TMM remains the market leader despite a certain erosion of its market shares, holding a still outstanding position. The company's market share in both the eastbound and westbound traffic is approximately x,x times + that of the second-largest provider. Through the merger with CP Ships (i.e., the consolidation with Lykes, Ivaran, and the relevant Contship activities), a company is created that transports more than two-thirds of the westbound freight and more than half of the eastbound freight volume in the relevant market. The threshold of § 19 para. 3 sentence 1 GWB (market share of one-third) for individual market dominance is thus far exceeded.</w:t>
      </w:r>
    </w:p>
    <w:p>
      <w:r>
        <w:t>16. Market shares of this magnitude, however, do not, in themselves, justify the assumption of individual market dominance in containerized liner shipping, as the relevant market exhibits characteristics that allow for significant competition even at high market shares and may exclude a dominant market position. On the supply side, the market is characterized by a largely homogeneous transport offering and a mobile fleet of container ships, whose growth rate—especially in the area of large container ships with more than 3,000 TEU slots—has historically exceeded the growth rate of cargo. The volume of new orders suggests—despite a slight downward trend—that global overcapacity will continue to grow.</w:t>
      </w:r>
    </w:p>
    <w:p>
      <w:r>
        <w:t>On the demand side, there are partly large shippers with correspondingly strong demand power, who can redirect their freight relatively quickly to an alternative provider with available capacity. For example, Volkswagen, which holds a nearly 16% share of the westbound and a nearly 8% share of the eastbound freight volume in the Northern Europe/Mexico traffic, enters into freight contracts with only a two-year term. Consequently, there can be a significant short-term shift of market shares.</w:t>
      </w:r>
    </w:p>
    <w:p>
      <w:r>
        <w:t>SEITE 12</w:t>
      </w:r>
    </w:p>
    <w:p>
      <w:r>
        <w:t>17. In the present case, the emergence of a dominant market position through the merger is nevertheless to be expected. This is because the larger part of the other established liner services is a member of the liner conference Association of West India Trans-Atlantic Steam Ship Lines (WITASS), Mexican Section, together with TMM, and therefore will not act as an independent alternative to the parties involved in the merger in competition (see below para. 18). Sufficient competitive control by the remaining outsiders is not to be expected due to the structure of the relevant market (see below para. 19).</w:t>
      </w:r>
    </w:p>
    <w:p>
      <w:r>
        <w:t xml:space="preserve">18. WITASS (Mexican Section) is the liner conference for the trade area Northern Europe/Mexico. Members of this conference, in addition to TMM, include the liner shipping companies Hapag Lloyd, CGM, and Stinnes, which are marked in italics in the preceding market share overviews. The members of the liner conference jointly held the following market shares from 1995 to 1997:  </w:t>
        <w:br/>
        <w:t xml:space="preserve">Northern Europe - Mexico (westbound)  </w:t>
        <w:br/>
        <w:t xml:space="preserve">1995 1996 1997  </w:t>
        <w:br/>
        <w:t xml:space="preserve">TMM xx,x % xx,x % xx,x %  </w:t>
        <w:br/>
        <w:t xml:space="preserve">Hapag Lloyd xx,x % xx,x % xx,x %  </w:t>
        <w:br/>
        <w:t xml:space="preserve">CGM x,x % x,x % x,x %  </w:t>
        <w:br/>
        <w:t xml:space="preserve">Stinnes x,x % x,x % x,x %  </w:t>
        <w:br/>
        <w:t>Total WITASS: 74.8 % 78.7 % 67.9 %</w:t>
      </w:r>
    </w:p>
    <w:p>
      <w:r>
        <w:t xml:space="preserve">Mexico - Northern Europe (eastbound)  </w:t>
        <w:br/>
        <w:t xml:space="preserve">1995 1996 1997  </w:t>
        <w:br/>
        <w:t xml:space="preserve">TMM xx,x % xx,x % xx,x %  </w:t>
        <w:br/>
        <w:t xml:space="preserve">Hapag Lloyd xx,x % xx,x % xx,x %  </w:t>
        <w:br/>
        <w:t xml:space="preserve">CGM x,x % x,x % x,x %  </w:t>
        <w:br/>
        <w:t xml:space="preserve">Stinnes x,x % x,x % x,x %  </w:t>
        <w:br/>
        <w:t>Total WITASS: 68.8 % 70.6 % 69.0 %</w:t>
      </w:r>
    </w:p>
    <w:p>
      <w:r>
        <w:t>With WITASS, the shipping companies pursue the purpose, according to the "Conference Constitution" (subsequently CC), of establishing a regular, efficient, and economical liner service in the trade area.</w:t>
      </w:r>
    </w:p>
    <w:p>
      <w:r>
        <w:rPr>
          <w:b/>
        </w:rPr>
        <w:t>[Pages 13–15]</w:t>
      </w:r>
    </w:p>
    <w:p>
      <w:r>
        <w:t>PAGE 13</w:t>
      </w:r>
    </w:p>
    <w:p>
      <w:r>
        <w:t>service at stable freight rates (Point II 1. CC). The WITASS constitution obliges the members, among other things, to offer and maintain only those shipping services in the trade area for which they are entitled under the conference agreements (Point II 2. CC, Point VI CC), to adhere to the freight rates and transportation conditions that have been agreed upon within the framework of the conference (Point I CC), and not to cooperate with competing non-members in the trade area either through charter agreements or in any other way (Point X CC). These obligations, which are associated with sanctions, clarify that WITASS (Mexican Section) serves its members as a forum for coordinating all essential competition-relevant parameters.</w:t>
      </w:r>
    </w:p>
    <w:p>
      <w:r>
        <w:t>19. Following the merger between the WITASS member TMM and Lykes (CP Ships), which has so far been the only outsider with double-digit - and growing - market shares, the market will thus be "pacified" competitively to the following extent:</w:t>
      </w:r>
    </w:p>
    <w:p>
      <w:r>
        <w:t>Northern Europe - Mexico (westbound)</w:t>
        <w:br/>
        <w:t>1995 1996 1997</w:t>
        <w:br/>
        <w:t>WITASS 74.8 % 78.7 % 67.9 %</w:t>
        <w:br/>
        <w:t>(incl. TMM)</w:t>
        <w:br/>
        <w:t>CP Ships xx,x % x,x % xx,x %</w:t>
        <w:br/>
        <w:t>(Lykes pp.)</w:t>
        <w:br/>
        <w:t>___________________________________________________</w:t>
        <w:br/>
        <w:t>Total xx,x % + xx,x % + xx,x % +</w:t>
      </w:r>
    </w:p>
    <w:p>
      <w:r>
        <w:t>16 Point VII and Point XVI CC.</w:t>
        <w:br/>
        <w:t>+ Between 80 % and 90 %</w:t>
      </w:r>
    </w:p>
    <w:p>
      <w:r>
        <w:t>PAGE 14</w:t>
      </w:r>
    </w:p>
    <w:p>
      <w:r>
        <w:t>Mexico - Northern Europe (eastbound)</w:t>
        <w:br/>
        <w:t>1995 1996 1997</w:t>
        <w:br/>
        <w:t>WITASS 68.8 % 70.6 % 69.0 %</w:t>
        <w:br/>
        <w:t>(incl. TMM)</w:t>
        <w:br/>
        <w:t>CP Ships x,x % x,x % x,x %</w:t>
        <w:br/>
        <w:t>(Lykes pp.)</w:t>
        <w:br/>
        <w:t>________________________________________________________</w:t>
        <w:br/>
        <w:t>Total x,x % ++ xx,x % ++ xx,x % ++</w:t>
      </w:r>
    </w:p>
    <w:p>
      <w:r>
        <w:t>The market shares of the remaining, unbound providers are minimal and widely dispersed (1997 westbound: Sealand x,x %, Deppe x,x %, Evergreen x,x %, MECL x,x % etc.; eastbound: Sealand x,x %, MECL x,x %, Evergreen x,x %, Deppe Line x,x % etc.).</w:t>
      </w:r>
    </w:p>
    <w:p>
      <w:r>
        <w:t>Given this market structure, it is expected that the conference-independent liner shipping companies will align their market behavior, particularly their pricing, with the dominant providers following the merger, rather than attempting to expand their own market shares at the expense of the market leaders. (Especially since the market share of WITASS members has already remained relatively stable at a high level over the years despite some fluctuations prior to the merger.) This assumption also applies to the new Houston service of COSCO/"K" Line/Yangming and to the newly established liner service of the Mediterranean Shipping Company, which serves Mexico with feeder ships from its hub in Freeport/Bahamas.</w:t>
      </w:r>
    </w:p>
    <w:p>
      <w:r>
        <w:t>Although competition in the Northern Europe/USA trade area is expected to significantly intensify in the near future, on the one hand, the U.S. requirement for the filing of freight rates will be abolished in May 1999, allowing for secret competition in international liner freight traffic to and from the USA for the first time. At the same time, the rate-setting by the shipping conference for the Northern Europe/U.S.A. trade area (Trans-Atlantic Conference Agreement) will lose significance, as several major liner services have terminated their membership following the Commission's fine decision.</w:t>
      </w:r>
    </w:p>
    <w:p>
      <w:r>
        <w:t>PAGE 15</w:t>
      </w:r>
    </w:p>
    <w:p>
      <w:r>
        <w:t>These developments will also exert competitive impulses on the market for containerized liner freight shipping between Northern Europe on one hand and Mexico/U.S. Gulf Coast on the other. However, a significant revitalization of competition is not to be expected from this. On the one hand, the increasing price competition in the market for container transport with origin/destination North America does not necessarily have to affect the market for container transport with origin/destination Mexico, even though these transports are partially handled through the same ports. It is generally expected that the abolition of the publication requirement will lead to a stronger differentiation of freight rates. Consequently, shipping companies that call at Gulf Coast ports will also be able to increasingly adjust their freight rates according to the final destination of the containers in the future. On the other hand, the volume of overseas containers that are handled in the Northern Europe/Mexico trade via Houston (and other U.S. ports) is still relatively low at around 10%. As stated above in para. 9, it is evident that this share will likely increase in the near future due to improvements in hinterland connectivity. However, as also stated there, the port hinterland connectivity of Houston is expected to be in the hands of the merger participant TMM. Houston is by far the most significant U.S. port for the goods traffic between Northern Europe and Mexico, and rail container transport is likely to be superior to road transport due to its reliability and transport capacity. TMM will therefore likely be able to influence the overall costs for handling container transports with origin/destination Mexico via the port of Houston through its pricing for the port hinterland transport Houston/Mexico. This would allow TMM to significantly reduce competitive impulses that could arise from increasing price competition in the Northern Europe/U.S.A. traffic on the Mexico traffic.</w:t>
      </w:r>
    </w:p>
    <w:p>
      <w:r>
        <w:t>IX. Clearance with conditions</w:t>
      </w:r>
    </w:p>
    <w:p>
      <w:r>
        <w:rPr>
          <w:b/>
        </w:rPr>
        <w:t>[Pages 16–18]</w:t>
      </w:r>
    </w:p>
    <w:p>
      <w:r>
        <w:t>PAGE 16</w:t>
      </w:r>
    </w:p>
    <w:p>
      <w:r>
        <w:t>20. The merger project can nevertheless be approved on the basis of § 40 para. 2 sentence 1 in conjunction with para. 3 sentence 1 GWB</w:t>
        <w:br/>
        <w:t>(1)</w:t>
        <w:br/>
        <w:t>under the suspensive condition that TMM and the companies affiliated with it terminate their membership in the Mexican Section of WITASS and all agreements made in this context</w:t>
        <w:br/>
        <w:t>and</w:t>
        <w:br/>
        <w:t>(2)</w:t>
        <w:br/>
        <w:t>with the stipulation that TMM, CP Ships, and the companies affiliated with them do not become (again) members of the Mexican Section of WITASS or any other shipping conference for the trade area Northern Europe/Mexico. These conditions are suitable (see below para. 21, 22) and necessary (see below para. 23) to ensure that the project can be approved and do not unduly burden the parties involved (see below para. 24). They therefore comply with the principle of proportionality.</w:t>
      </w:r>
    </w:p>
    <w:p>
      <w:r>
        <w:t>21. The suspensive condition ensures that the project does not lead to the establishment of a dominant market position. Although the merger will lead to - relatively high - combined shares of xx,x %+ in the westbound traffic and xx,x %++ in the eastbound traffic (each for 1997), these market shares, which are expected to decrease slightly as a result of the merger, do not justify the assumption of a dominant market position for the reasons outlined above in para. 14, provided that effective competition is otherwise expected.</w:t>
        <w:br/>
        <w:t>+ Between 60 % and 70 %.</w:t>
        <w:br/>
        <w:t>++ Between 50 % and 60 %.</w:t>
      </w:r>
    </w:p>
    <w:p>
      <w:r>
        <w:t>PAGE 17</w:t>
      </w:r>
    </w:p>
    <w:p>
      <w:r>
        <w:t>If TMM withdraws from the Mexican Section of WITASS and TMM, CP Ships, and the companies affiliated with them do not (re)join this conference, the market will in the future - alongside smaller providers - also see the established liner service Hapag Lloyd, with a market share (1997) of xx,x % in westbound traffic and xx,x % in eastbound traffic, operating independently of the parties involved in the merger. Hapag Lloyd directly serves Mexico, unlike the also significant provider Sealand, thus providing a genuine alternative to the services of the parties involved in the merger. Although there is a contract between Hapag Lloyd and TMM outside of WITASS regarding the mutual chartering of cargo capacity ("Cross Based Charter Arrangement") for all ports served in Northern Europe, Mexico, U.S. Gulf, and East Coast, this contract only grants the contracting parties a claim to a previously determined number of slots on board each weekly liner service. Further anti-competitive agreements (e.g., regarding pricing, the further chartering of slots, etc.) have not been made. Therefore, the withdrawal of TMM from WITASS (Mexican Section) will create the structural conditions for effective competition between Hapag Lloyd (and the other WITASS members) on the one hand and the parties involved in the merger on the other.</w:t>
      </w:r>
    </w:p>
    <w:p>
      <w:r>
        <w:t xml:space="preserve">If TMM withdraws from WITASS to complete the merger with CP Ships, the competitive conditions in the relevant market would even improve slightly. Currently, due to the WITASS agreements, approximately xx,x %+ (eastbound) or xx,x %++ (westbound) of the market is competitively stabilized, while the merger of TMM and CP Ships leads to the - slightly lower - combined market shares of xx,x %+++ (eastbound) or xx,x %++ (westbound). </w:t>
        <w:br/>
        <w:t>+ Between 65 % and 75 %.</w:t>
        <w:br/>
        <w:t>++ Between 60 % and 70 %.</w:t>
        <w:br/>
        <w:t>+++ Between 50 % and 60 %.</w:t>
      </w:r>
    </w:p>
    <w:p>
      <w:r>
        <w:t>PAGE 18</w:t>
      </w:r>
    </w:p>
    <w:p>
      <w:r>
        <w:t>22. The stipulation that TMM, CP Ships, and the companies affiliated with them do not (again) join the Mexican Section of WITASS or a comparable shipping conference for the trade area is suitable to prevent the purpose pursued by the condition from being undermined by circumvention solutions.</w:t>
      </w:r>
    </w:p>
    <w:p>
      <w:r>
        <w:t>23. Less burdensome conditions that would also be suitable to ensure that the merger project does not meet the conditions for prohibition are not apparent.</w:t>
        <w:br/>
        <w:t>a)</w:t>
        <w:br/>
        <w:t>In comparison to an approval decision under the suspensive condition of the withdrawal from WITASS, an approval with the stipulation of a later withdrawal from WITASS could be considered as a less burdensome means. However, such a stipulation would not be as suitable as the suspensive condition to ensure that the approval conditions are actually met when executing the project.</w:t>
        <w:br/>
        <w:t>b)</w:t>
        <w:br/>
        <w:t>To exclude the possibility that the parties are burdened in a manner exceeding what is necessary by the stipulation, the decision-making department will assure them that it will lift the stipulation upon request of a party if</w:t>
        <w:br/>
        <w:t>* the circumstances that were decisive for the stipulation have changed significantly;</w:t>
        <w:br/>
        <w:t>* a party involved in the merger or a company affiliated with it wishes to become a member of the Mexican Section of WITASS or another shipping conference for the trade area, provided that the combined market shares of the members of this shipping conference, TMM, CP Ships, and the companies affiliated with them in containerized liner shipping between Northern Europe and Mexico do not exceed 70 % (based on revenues) for two consecutive years.</w:t>
      </w:r>
    </w:p>
    <w:p>
      <w:r>
        <w:rPr>
          <w:b/>
        </w:rPr>
        <w:t>[Pages 19–21]</w:t>
      </w:r>
    </w:p>
    <w:p>
      <w:r>
        <w:t>PAGE 19</w:t>
      </w:r>
    </w:p>
    <w:p>
      <w:r>
        <w:t>exceeded. This ensures that the liner services involved in the merger (individually or collectively) can join a liner conference for the affected market when their combined market shares have been sufficiently reduced and/or the market shares of the other conference members are so minimal that membership in the conference does not raise concerns about the emergence of a monopoly or oligopolistic market dominance.</w:t>
      </w:r>
    </w:p>
    <w:p>
      <w:r>
        <w:t>24. The ancillary provisions are also not unduly burdensome. In particular, they are not disproportionate in the strict sense simply because TMM is required to refrain from joint action with shipping companies that collectively accounted for xx,x % of the westbound and xx,x % of the eastbound freight volume in 1997, in order to be allowed to merge with a company (CP Ships) whose share of the freight volume was lower in 1997 (westbound xx,x % and eastbound only xx,x %++). TMM's economic interest in the merger with CP Ships is significantly greater than its economic interest in continuing cooperation with the stronger WITASS members, as the merger ensures close and lasting collaboration, on the basis of which cost advantages and other synergy effects can be realized. Furthermore, the market shares of CP Ships (Lykes pp) and the WITASS members (excluding TMM) do not differ significantly, particularly in the area of the considerably larger westbound traffic.</w:t>
      </w:r>
    </w:p>
    <w:p>
      <w:r>
        <w:t>25. The ancillary provisions are not aimed at subjecting the participating companies to ongoing behavioral control (§ 40 para. 3 sentence 2 GWB). They merely ensure that the competitive freedom of action of the parties involved is not restricted by the liner conference WITASS, Mexican Section.</w:t>
      </w:r>
    </w:p>
    <w:p>
      <w:r>
        <w:t>+ Between 15 % and 25 %.</w:t>
        <w:br/>
        <w:t>++ Between 10 % and 20 %.</w:t>
      </w:r>
    </w:p>
    <w:p>
      <w:r>
        <w:t>PAGE 20</w:t>
      </w:r>
    </w:p>
    <w:p>
      <w:r>
        <w:t>25. The admissibility of the ancillary provisions is not precluded by the fact that the membership of the merger parties in the Mexican Section of WITASS may be exempted from the cartel prohibition in accordance with Regulation (EEC) No. 4056/86 of the Council on the details of the application of Articles 85 and 86 of the Treaty to maritime transport of December 22, 1986. For the ancillary provisions are not intended to give effect to the cartel prohibition; they serve solely to create the structural prerequisites for a clearance decision in the merger control procedure. Moreover, the authority of the Federal Cartel Office to condition the clearance decision pursuant to § 40 para. 3 sentence 1 GWB would lose its purpose if the merger parties could only be prohibited from doing what is already legally forbidden.</w:t>
      </w:r>
    </w:p>
    <w:p>
      <w:r>
        <w:t>Legal remedy notice</w:t>
      </w:r>
    </w:p>
    <w:p>
      <w:r>
        <w:t>An appeal against this decision is permissible (§ 63 para. 1 sentence 1 GWB). It must be submitted in writing within a period of one month starting from the delivery of the decision to the Federal Cartel Office, Mehringdamm 129, 10965 Berlin (§ 66 para. 1 sentence 1, sentence 2 GWB). However, it is sufficient if it is received within this period by the appellate court, the Kammergericht in Berlin (§ 66 para. 1 sentence 4 GWB). The appeal must be substantiated (§ 66 para. 3 sentence 1 GWB). The deadline for substantiating the appeal is one month; it begins with the filing of the appeal and can be extended upon request by the presiding judge of the appellate court (§ 66 para. 3 sentence 2 GWB). The appeal substantiation must contain a statement indicating the extent to which the decision is being contested and the modification or annulment is being requested, and must specify the facts and evidence on which the appeal is based (§ 66 para. 4 GWB).</w:t>
      </w:r>
    </w:p>
    <w:p>
      <w:r>
        <w:t>The appeal and the appeal substantiation must be signed by a lawyer admitted to a German court (§ 66 para. 5 GWB).</w:t>
      </w:r>
    </w:p>
    <w:p>
      <w:r>
        <w:t>The appeal does not have suspensive effect (§ 40 para. 2 in conjunction with § 64 para. 1 GWB); this can, however, be ordered by the appellate court upon request (§ 65 para. 3 GWB).</w:t>
      </w:r>
    </w:p>
    <w:p>
      <w:r>
        <w:t>Wagner Winter Haverkamp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