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http://www.bundeskartellamt.de/SharedDocs/Entscheidung/DE/Entscheidungen/Fusionskontrolle/2000/B9-19-00.pdf;jsessionid=3E8EF08EAC982CADCEE3BB69FB1E600C.1_cid362?__blob=publicationFile&amp;v=3</w:t>
      </w:r>
    </w:p>
    <w:p>
      <w:r>
        <w:t>Pages translated : 7</w:t>
      </w:r>
    </w:p>
    <w:p/>
    <w:p>
      <w:r>
        <w:rPr>
          <w:b/>
        </w:rPr>
        <w:t>[Pages 1–3]</w:t>
      </w:r>
    </w:p>
    <w:p>
      <w:r>
        <w:t xml:space="preserve">BUNDESKARTELLAMT 53113 Bonn  </w:t>
        <w:br/>
        <w:t xml:space="preserve">9. DECISION DIVISION Kaiser-Friedrich-Str. 16  </w:t>
        <w:br/>
        <w:t xml:space="preserve">Telephone: (0228) 94 99-517  </w:t>
        <w:br/>
        <w:t xml:space="preserve">Central: (0228) 94 99-0  </w:t>
        <w:br/>
        <w:t xml:space="preserve">File No.: B 9 - 19/00 Fax: (0228) 94 99-166  </w:t>
        <w:br/>
        <w:t xml:space="preserve">Telex: 18 43 21  </w:t>
        <w:br/>
        <w:t xml:space="preserve">Bundeskartellamt · Kaiser-Friedrich-Str. 16 · 53113 Bonn 27.03.2000  </w:t>
        <w:br/>
        <w:t>For publication</w:t>
      </w:r>
    </w:p>
    <w:p>
      <w:r>
        <w:t xml:space="preserve">MERGER PROCEDURE DECISION  </w:t>
        <w:br/>
        <w:t>PURSUANT TO § 40 PARA. 2 GWB</w:t>
      </w:r>
    </w:p>
    <w:p>
      <w:r>
        <w:t xml:space="preserve">¾  </w:t>
        <w:br/>
        <w:t xml:space="preserve">Decision  </w:t>
        <w:br/>
        <w:t xml:space="preserve">In the administrative matter  </w:t>
        <w:br/>
        <w:t xml:space="preserve">1. NET Express Holding GmbH, Mannheim  </w:t>
        <w:br/>
        <w:t xml:space="preserve">2. NET Nachtexpress Termindienst GmbH, Hamburg  </w:t>
        <w:br/>
        <w:t xml:space="preserve">3. NET Nachtexpress Termindienst GmbH, Maintal  </w:t>
        <w:br/>
        <w:t xml:space="preserve">- Participants -  </w:t>
        <w:br/>
        <w:t xml:space="preserve">Legal representatives for 1 to 3: Attorneys Clifford Chance Pünder  </w:t>
        <w:br/>
        <w:t>Oberlindau 54-56 D-60323 Frankfurt am Main</w:t>
      </w:r>
    </w:p>
    <w:p>
      <w:r>
        <w:t>regarding a merger, the 9th Decision Division of the Bundeskartellamt decided on 23.03.2000:</w:t>
      </w:r>
    </w:p>
    <w:p>
      <w:r>
        <w:t>Page 2 of the letter dated 27.03.2000</w:t>
      </w:r>
    </w:p>
    <w:p>
      <w:r>
        <w:t xml:space="preserve">I. Main Matter  </w:t>
        <w:br/>
        <w:t>The registered acquisition of all shares in NET Nachtexpress Termindienst GmbH, Hamburg, and all shares in NET Nachtexpress Termindienst, Maintal, by NET Express Holding GmbH, Mannheim, is approved.</w:t>
      </w:r>
    </w:p>
    <w:p>
      <w:r>
        <w:t xml:space="preserve">II. Fees  </w:t>
        <w:br/>
        <w:t>The fee for the registration is set at DM xxx (in words: xxx Deutsche Mark) (for information: xxx Euro) and is imposed on the parties 1 to 3 as joint debtors.</w:t>
      </w:r>
    </w:p>
    <w:p>
      <w:r>
        <w:t xml:space="preserve">Reasons  </w:t>
        <w:br/>
        <w:t>1. By letter dated February 17, 2000, the legal representatives registered, pursuant to § 39 GWB, that NET Express Holding GmbH, Mannheim (NET), intends to acquire all shares in NET Nachtexpress Termindienst GmbH, Hamburg (NET Hamburg) and NET Nachtexpress Termindienst, Maintal (NET Maintal), as well as NET Nachtexpress Termindienst GmbH, Harpstedt (NET Harpstedt) and NET Nachtexpress Termindienst GmbH, Berlin (NET Berlin). By letter dated 07.03.2000, the participating companies were informed that the Bundeskartellamt has entered into the main examination procedure (notification pursuant to § 40 para. 1 GWB). The examination period ends on 17.06.2000.</w:t>
      </w:r>
    </w:p>
    <w:p>
      <w:r>
        <w:t>2. After examining the registration, the Bundeskartellamt found that the notified project only falls within the scope of German merger control (§ 35 GWB) to the extent that it concerns the acquisition of NET Hamburg and NET Maintal. The acquisition of NET Harpstedt and NET Berlin is exempt from control. To the extent that the project is subject to merger control, it does not expect the establishment or strengthening of a dominant market position.</w:t>
      </w:r>
    </w:p>
    <w:p>
      <w:r>
        <w:t xml:space="preserve">I. The participating companies and the project  </w:t>
        <w:br/>
        <w:t>3. NET operates in the field of express services. Express services are transport services with a delivery that is faster and more reliable than standard postal services and include additional services. As additional services, NET offers, among other things, reusable box systems and cash on delivery service for its customers. In 1999, NET achieved a turnover of [...] million DM; it provides these services predominantly domestically; only about [...] of the turnover is attributable to international business. NET is a subsidiary of PTT Post B.V., which belongs to the TNT Post Group.</w:t>
      </w:r>
    </w:p>
    <w:p>
      <w:r>
        <w:t>Page 3 of the letter dated 27.03.2000</w:t>
      </w:r>
    </w:p>
    <w:p>
      <w:r>
        <w:t>N.V., Amsterdam/Netherlands (TPG) is involved. TPG is a global provider of courier, express, and parcel services and operates in the logistics sector. In Germany, it operates alongside NET through TNT Holdings (Deutschland) GmbH, Troisdorf, a pure holding company, with TNT Express GmbH and Jet Services Deutschland NVS GmbH, Leverkusen, (Jet) in the express and logistics sector. In 1999, Jet achieved a turnover of approximately [...] million DM. TNT Express GmbH achieved a turnover of approximately [...] million DM in Germany. In 1998, TPG achieved a worldwide turnover of around [...] billion DM ([...] billion EURO), of which approximately [...] billion DM ([...] billion EURO) was in the European Union and approximately [...] billion DM ([...] million EURO) in Germany.</w:t>
      </w:r>
    </w:p>
    <w:p>
      <w:r>
        <w:t>4. NET Hamburg, NET Maintal, NET Harpstedt, and NET Berlin are active in the field of express services in Germany. In 1999, NET Hamburg achieved a turnover of [...] million DM and NET Maintal of [...] million DM. NET Harpstedt and NET Berlin each achieved a turnover of [...] million DM. All companies are independent within the meaning of § 35 para. 2 no. 1 GWB.</w:t>
      </w:r>
    </w:p>
    <w:p>
      <w:r>
        <w:t xml:space="preserve">II. The Merger  </w:t>
        <w:br/>
        <w:t>5. NET intends to acquire all shares in NET Hamburg, NET Maintal, NET Harpstedt, and NET Berlin. The project meets the merger threshold of § 37 para. 1 no. 1 GWB.</w:t>
      </w:r>
    </w:p>
    <w:p>
      <w:r>
        <w:t xml:space="preserve">III. Scope of Application of the GWB  </w:t>
        <w:br/>
        <w:t>6. The acquisition of all shares in NET Harpstedt and NET Berlin by NET does not fall within the scope of the GWB (§ 35 para. 2 no. 1 GWB). Even if the acquisition of these two companies were to be assessed as a single economic transaction together with the acquisition of NET Hamburg and NET Maintal, this would ultimately not lead to a different competitive assessment of the notified project.</w:t>
      </w:r>
    </w:p>
    <w:p>
      <w:r>
        <w:t>7. The jurisdiction of the Bundeskartellamt for the merger control examination of the merger project arises from the fact that there is no merger of Community-wide significance. The conditions of Art. 1 EUMR (Regulation [EEC] No. 4064/89 as amended by Regulation [EC] No. 1310/98) in conjunction with § 35 para. 3 GWB are not met. The total turnover of at least two companies does not exceed 250 million EURO each. The turnover thresholds of § 35 para. 1 GWB are exceeded. The tolerance clauses of § 35 para. 2 GWB do not apply in this regard. According to § 39 para. 1 GWB, the project is subject to notification.</w:t>
      </w:r>
    </w:p>
    <w:p>
      <w:r>
        <w:rPr>
          <w:b/>
        </w:rPr>
        <w:t>[Pages 4–6]</w:t>
      </w:r>
    </w:p>
    <w:p>
      <w:r>
        <w:t>Page 4 of the letter dated 27.03.2000</w:t>
      </w:r>
    </w:p>
    <w:p>
      <w:r>
        <w:t>IV. Impact on Competition</w:t>
      </w:r>
    </w:p>
    <w:p>
      <w:r>
        <w:t>8. The notified merger project will not be prohibited, as the conditions for prohibition under § 36 para. 1 GWB are not met.</w:t>
      </w:r>
    </w:p>
    <w:p>
      <w:r>
        <w:t>A. Relevant Market</w:t>
      </w:r>
    </w:p>
    <w:p>
      <w:r>
        <w:t>9. The project concerns the sector of CEP services (Courier/Express/Parcel) in the sub-segment of express services. The NET subsidiary NET Nachtexpress Termindienst GmbH, Mannheim (NET GmbH), has primarily developed and established a national night and day express service. Delivery is predominantly carried out in the so-called night express service, i.e., still during the night following the dispatch until 8:00 a.m. The transport mainly involves spare parts for the automotive industry, agricultural technology, construction machinery, and machinery, as well as for installers and technicians. The weight per shipment ranges from 100 g to 150 kg, with [...] of all shipments falling within the range of [...] kg. NET has a stable customer base, as it only operates for regular and scheduled shippers with whom it has made fixed agreements.</w:t>
      </w:r>
    </w:p>
    <w:p>
      <w:r>
        <w:t>Express services differ from standard postal services through faster and time-specific delivery as well as additional services, such as shipment tracking (track and trace). The merger parties define an "express market" on this basis, which encompasses all weight classes. In contrast, the Federal Cartel Office assumes, based on substitutability from the buyer's perspective, that there are distinct markets for courier services, express mail, and standard mail, as well as express parcel post and standard parcel post, with distinctions made between national and international shipments, and individual markets further subdivided. Accordingly, the project would affect the market for domestic express parcel services. However, the exact market delineation can remain open, as no conceivable delineation is expected to lead to the creation or strengthening of a dominant market position through the merger project.</w:t>
      </w:r>
    </w:p>
    <w:p>
      <w:r>
        <w:t>10. The spatially relevant market is the domestic market.</w:t>
      </w:r>
    </w:p>
    <w:p>
      <w:r>
        <w:t>B. Competitive Situation</w:t>
      </w:r>
    </w:p>
    <w:p>
      <w:r>
        <w:t>11. Information on the volume for domestic express parcel post is not available. However, the available data for the areas of express services and parcel post are sufficient in this case to exclude the creation or strengthening of a dominant market position through the merger project. The German market for CEP services reached a total volume of approximately 16 billion DM in 1997, of which approximately 6 billion DM was in the area of express services. For the year 1999, the volume in the express sector is estimated at approximately 7 billion DM. The volume for parcel post was around 6.8 million DM in 1998, with above-average growth not expected for the year 1999.</w:t>
      </w:r>
    </w:p>
    <w:p>
      <w:r>
        <w:t>12. In 1999, NET itself achieved approximately [...] million DM in revenue in the area of express services; this corresponds to a market share of approximately [...] %. Additionally, the revenues and market shares of TNT Express GmbH [approximately ...] million DM revenue / approximately [...]% market share) and Jet [approximately ...] million DM revenue / approximately [...%] market share) are to be attributed to NET. This results in a total estimated revenue for NET of [...] billion DM and a market share of [under 20]%.</w:t>
      </w:r>
    </w:p>
    <w:p>
      <w:r>
        <w:t>13. NET Hamburg achieved a revenue of [...] million DM in 1999, resulting in a market share of approximately [...]%. NET Maintal also did not exceed the same market share with a revenue of [...] million DM. After the acquisition, the merger parties will achieve a cumulative revenue of approximately DM [...] million, corresponding to a market share of [under 20]%.</w:t>
      </w:r>
    </w:p>
    <w:p>
      <w:r>
        <w:t>14. Significant competitors include UPS, DP AG, and DHL. UPS was the market leader in 1999 with a revenue of approximately [...] billion DM and a market share of [under 20]%. DP AG achieved a market share of [under 10%] with [...] million DM. DHL, in which DP AG has a stake, generated revenues of [...] million DM and thus holds a market share of [under 5%].</w:t>
      </w:r>
    </w:p>
    <w:p>
      <w:r>
        <w:t>15. When the revenues achieved by the merger parties are related to the market volume in the parcel sector, comparable market shares result. Their combined market share would be [under 20]%. Leading competitors hold market shares of [more than 40%] (DP AG) and [more than 15%] (UPS).</w:t>
      </w:r>
    </w:p>
    <w:p>
      <w:r>
        <w:t>C. Regarding the Question of Establishing or Strengthening a Dominant Market Position</w:t>
      </w:r>
    </w:p>
    <w:p>
      <w:r>
        <w:t>16. After the merger, the legal presumption of market dominance under § 19 para. 3 sentence 1 GWB is not fulfilled for individual companies. For the area of parcel post, the presumption of § 19 para. 3 sentence 2 GWB is indeed mathematically fulfilled. Apart from the fact that the Federal Cartel Office considers a narrower market delineation to be sensible for this area, the entire parcel sector is currently assessed by the Federal Cartel Office as being dominated by DP AG. The gap in market shares between DP AG and the next competitor is already significant: DP AG has a market share twice as high as that of the second-largest market player. Other competitive advantages of DP AG, such as its structure as a "single entity" compared to franchise systems like DPD and its historically conditioned position as a former national monopolist, lead to the conclusion that despite the mathematical presence of the oligopoly presumption, only the monopoly presumption corresponds to the actual market situation. The acquisition of NET Hamburg and NET Maintal by NET therefore does not lead to the establishment or strengthening of a dominant market position. If both the conditions for the presumption of individual market dominance and those for the oligopoly presumption are met, it only matters where the focus lies (cf. KG in WuW/E OLG 3759,3765 "Pillsbury/Sonnen-Bassermann"; WuW/E OLG 3051, 3070 "Morris/Rothmans"), and here it is the presumption of individual market dominance by DP AG, not a market dominance in an oligopoly including NET. In any case, the increases in market shares are very small [under one percent], and there was already a cooperation agreement between the merger parties, which the Federal Cartel Office reviewed and approved (B 9-105/96). Therefore, the material effects of the merger project are at most minor. There is ultimately no ground for prohibition in the sense of § 36 GWB.</w:t>
      </w:r>
    </w:p>
    <w:p>
      <w:r>
        <w:t>D. Summary</w:t>
      </w:r>
    </w:p>
    <w:p>
      <w:r>
        <w:t>17. For the aforementioned reasons, the Federal Cartel Office has decided not to prohibit the notified merger project. This decision is issued pursuant to § 40 para. 2 sentence 1 GWB.</w:t>
      </w:r>
    </w:p>
    <w:p>
      <w:r>
        <w:t>Fees</w:t>
      </w:r>
    </w:p>
    <w:p>
      <w:r>
        <w:t>1. The registration of the merger under § 39 para. 1 GWB is subject to fees in accordance with § 80 para. 1 GWB. The cartel authority may charge fees of up to DM 100,000, and in cases of particularly significant economic importance and exceptionally high administrative effort, up to DM 200,000 (§ 80 para. 2 sentence 2 no. 1 in conjunction with sentence 3 GWB). The amount of the fee is determined by the personnel and material effort of the cartel authority, taking into account the economic significance of the subject of the fee-based action. Among the mentioned determining characteristics, the economic significance carries the greatest weight. It arises from the amount of domestic revenue of the participating companies in the market affected by the merger and the expected economic benefits of the future cooperation in the domestic market. If the economic significance determined by these characteristics corresponds to the average, a medium fee is generally appropriate. This currently amounts to DM 50,000.</w:t>
      </w:r>
    </w:p>
    <w:p>
      <w:r>
        <w:t>xxx</w:t>
      </w:r>
    </w:p>
    <w:p>
      <w:r>
        <w:t>The debtors of the fee are the parties 1 to 3 as applicants of the merger project. They are liable as joint debtors (§ 80 para. 6 sentence 1 no. 1 in conjunction with sentence 3 GWB). The fee is to be paid within one month after delivery of the decision, indicating the above-mentioned file number to the account.</w:t>
      </w:r>
    </w:p>
    <w:p>
      <w:r>
        <w:rPr>
          <w:b/>
        </w:rPr>
        <w:t>[Pages 7–7]</w:t>
      </w:r>
    </w:p>
    <w:p>
      <w:r>
        <w:t>Page 7 of the letter dated 27.03.2000</w:t>
      </w:r>
    </w:p>
    <w:p>
      <w:r>
        <w:t xml:space="preserve">Federal Treasury Berlin  </w:t>
        <w:br/>
        <w:t xml:space="preserve">Account No. 100 010 18  </w:t>
        <w:br/>
        <w:t xml:space="preserve">at the State Central Bank in Berlin and Brandenburg  </w:t>
        <w:br/>
        <w:t xml:space="preserve">10625 Berlin, Bank Code 100 000 00  </w:t>
        <w:br/>
        <w:t>to be transferred.</w:t>
      </w:r>
    </w:p>
    <w:p>
      <w:r>
        <w:t>2. The expenses for the necessary publication in the Federal Gazette will be charged separately (§§ 43 No. 2, 80 para. 1 sentence 3 GWB).</w:t>
      </w:r>
    </w:p>
    <w:p>
      <w:r>
        <w:t>Legal Remedy Information</w:t>
      </w:r>
    </w:p>
    <w:p>
      <w:r>
        <w:t>Against this decision, the parties involved in the proceedings - the applicants (parties 1 to 3) only regarding the fee assessment - have the right to appeal. The appeal must be submitted in writing within a period of one month starting from the delivery of the decision to the Federal Cartel Office, Kaiser-Friedrich-Str. 16, 53113 Bonn. It is sufficient if it is received within this period by the appellate court, the Higher Regional Court of Düsseldorf. The appeal must be substantiated. The period for substantiating the appeal is one month. It begins with the filing of the appeal and can be extended upon request by the presiding judge of the appellate court. The appeal must contain a statement indicating the extent to which the decision is being contested and the modification or annulment is being requested, and must specify the facts and evidence on which the appeal is based. The appeal and the substantiation of the appeal must be signed by a lawyer admitted to practice before a German court (§§ 63, 66 GWB).</w:t>
      </w:r>
    </w:p>
    <w:p>
      <w:r>
        <w:t>Dr. Ruppelt Wagner Schulze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