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http://www.bundeskartellamt.de:80/SharedDocs/Entscheidung/DE/Fallberichte/Fusionskontrolle/2017/B9-190-16.pdf;jsessionid=00C4CDB542810DC40944796E93AFB9B8.2_cid378?__blob=publicationFile&amp;v=4</w:t>
      </w:r>
    </w:p>
    <w:p>
      <w:r>
        <w:t>Pages translated : 9</w:t>
      </w:r>
    </w:p>
    <w:p/>
    <w:p>
      <w:r>
        <w:rPr>
          <w:b/>
        </w:rPr>
        <w:t>[Pages 1–3]</w:t>
      </w:r>
    </w:p>
    <w:p>
      <w:r>
        <w:t xml:space="preserve">Case Report 30.01.2017  </w:t>
        <w:br/>
        <w:t xml:space="preserve">Lufthansa is allowed to lease aircraft from Air Berlin  </w:t>
        <w:br/>
        <w:t xml:space="preserve">Industry: Air Transport  </w:t>
        <w:br/>
        <w:t xml:space="preserve">File Number: B9-190/16  </w:t>
        <w:br/>
        <w:t>Date of Decision: January 30, 2017</w:t>
      </w:r>
    </w:p>
    <w:p>
      <w:r>
        <w:t>The Federal Cartel Office has approved the wet lease agreement concerning 38 passenger aircraft between the Lufthansa Group (“Lufthansa”) and Air Berlin PLC &amp; Co. Luftverkehrs KG (“Air Berlin”), which was provisionally registered as a merger on December 30, 2016, under merger control law on January 30, 2017. The wet lease agreement provides for the leasing of 38 aircraft of the types Airbus A319 and A320, along with cockpit crew and cabin personnel, at German and Austrian airports within a six-year term with certain extension options between Lufthansa and Air Berlin.</w:t>
      </w:r>
    </w:p>
    <w:p>
      <w:r>
        <w:t xml:space="preserve">- As is customary in wet leasing, the operational responsibility for flight operations, crew planning, maintenance, third-party damages, and the insurance of aircraft remains with the wet lease provider (“ACMIO contract”), i.e., with Air Berlin. Air Berlin itself does not own the 38 aircraft but has leased them from various leasing companies (lessors) “dry,” meaning without additional services such as crew and maintenance.  </w:t>
        <w:br/>
        <w:t>- Five of the 38 aircraft are to be leased for use within the Lufthansa Group to Austrian Airlines, while 32 aircraft – thus the vast majority – will go to Eurowings, which operates primarily in point-to-point traffic outside of the Lufthansa hubs. At least 19 of the 38 aircraft are intended to replace older aircraft of Eurowings and Austrian Airlines; this older aircraft will be partially deployed elsewhere within the Lufthansa Group. One aircraft is to be kept as a reserve aircraft. The aircraft are to be stationed staggered from February 5, 2017, at the bases Stuttgart, Hamburg, Düsseldorf, Vienna, Munich, Cologne/Bonn, and Palma de Mallorca. With the exception of Palma de Mallorca and Vienna, the crews will be stationed at the respective bases. The crews for the bases Palma de Mallorca and Vienna will be stationed at other mentioned bases in Germany.</w:t>
      </w:r>
    </w:p>
    <w:p>
      <w:r>
        <w:t xml:space="preserve">- Additionally, Lufthansa intends to take over a total of up to 25 aircraft from these 38 aircraft of Air Berlin and from various dry lessors. This is to be achieved by concluding dry lease agreements for up to ten aircraft and by purchasing up to 15 aircraft. In these cases, Lufthansa will act as a (sub-)dry lessor to Air Berlin and will lease back the corresponding aircraft through the described wet lease agreement.  </w:t>
        <w:br/>
        <w:t>The project does not involve the transfer of take-off and landing rights (“slots”) or customer or other contractual and business relationships or other assets of Air Berlin to Lufthansa. Other parts of the ongoing restructuring of Air Berlin – in particular, the planned joint venture between TUI, Etihad, and the former Air Berlin subsidiary Niki – are also not part of the project registered with the Federal Cartel Office and were therefore not subject to the merger control examination conducted here.</w:t>
      </w:r>
    </w:p>
    <w:p>
      <w:r>
        <w:t>In the course of the official investigation, the decision-making department collected and evaluated extensive data. Furthermore, several competitors of the parties involved were consulted, and several corporate customers and travel agencies with high purchasing or brokerage volumes were surveyed on the customer side. Finally, the decision-making department consulted the airport coordinator of the Federal Republic of Germany regarding the procedure for slot allocation and the current behavior of the parties involved concerning the allocation of slots for the upcoming flight season (summer 2017) and closely exchanged information with him during the investigations.</w:t>
      </w:r>
    </w:p>
    <w:p>
      <w:r>
        <w:t>The negotiations concerning this matter by Lufthansa were not yet concluded at the time of the approval decision. Therefore, the Federal Cartel Office assumed the intended takeover of up to 25 aircraft by Lufthansa as a supplementary element to the wet lease agreement with Air Berlin in its merger control examination.</w:t>
      </w:r>
    </w:p>
    <w:p>
      <w:r>
        <w:t xml:space="preserve">Route-related consideration is not appropriate  </w:t>
        <w:br/>
        <w:t>For the assessment of the registered project, an evaluation of the competitive conditions on specific routes – unlike in many conventional merger cases in air transport – does not appear to be an appropriate approach. This is because the project does not legally involve the takeover of slots from Air Berlin by Lufthansa. Thus, there is also no direct factual connection of the wet lease agreement to the routes previously flown by Air Berlin.</w:t>
      </w:r>
    </w:p>
    <w:p>
      <w:r>
        <w:t>The investigations of the decision-making department also revealed that the wet lease agreement does not affect the reallocation of slots returned by Air Berlin. In particular, Lufthansa did not derive any relevant advantage from the wet lease agreement in the now conducted slot allocation for the upcoming summer season compared to its competitors. To the extent that there are changes in the offering on individual routes in temporal connection with the registered project, these cannot be causally attributed to the wet lease agreement in the context of the merger law examination.</w:t>
      </w:r>
    </w:p>
    <w:p>
      <w:r>
        <w:t xml:space="preserve">- In Germany, there are seven coordinated airports with Berlin-Tegel, Berlin-Schönefeld, Hamburg, Frankfurt, Düsseldorf, Munich, and Stuttgart, where take-off and landing rights are scarce and must be applied for with the airport coordinator of Germany. Several other airports (Bremen, Dresden, Erfurt, Hamburg, Hanover, Cologne/Bonn, Leipzig/Halle, Münster/Osnabrück, Nuremberg, and Saarbrücken) are currently considered “schedule-mediated.” Here, there may be slight bottlenecks, but these can be managed by the airports themselves, so that the airport coordinator is only informed about arrival and departure times. At the remaining airports in Germany, there is no scarcity of take-off and landing rights.  </w:t>
        <w:br/>
        <w:t>- The slot allocation in Germany is structured in such a way that – apart from retaining established, i.e., actually used take-off and landing rights – airlines can submit fee-free and non-binding applications for the allocation of desired slots with some lead time before the upcoming flight season in the context of a first allocation round. The utilization situation itself at the seven coordinated German airports due to their high traffic volume...</w:t>
      </w:r>
    </w:p>
    <w:p>
      <w:r>
        <w:rPr>
          <w:b/>
        </w:rPr>
        <w:t>[Pages 4–6]</w:t>
      </w:r>
    </w:p>
    <w:p>
      <w:r>
        <w:t>The situation at commercial airports (Frankfurt, Düsseldorf, Munich, Berlin-Tegel, Berlin-Schönefeld, Hamburg, and Stuttgart) is extremely heterogeneous, currently ranging between 53.8% and 98.7%. In the course of the first allocation round, a large number of allocation applications can therefore regularly be accommodated.</w:t>
      </w:r>
    </w:p>
    <w:p>
      <w:r>
        <w:t>- Those applications that cannot be accommodated with the available slots during the first round are placed on a waiting list. In a subsequent second allocation round, those slots that are not needed by the airlines for their specified flight planning in the upcoming season and are therefore returned are allocated. From the pool of returned slots, the applications on the waiting list are processed neutrally according to objective, factual criteria; among other things, newly emerging competitors (newcomers) have priority in slot allocation over established airlines. As further slots are returned outside of these allocation rounds for various reasons over time, these are continuously and promptly offered to interested airlines on the waiting list.</w:t>
      </w:r>
    </w:p>
    <w:p>
      <w:r>
        <w:t>- Driven by the upcoming change in its business model, for example, Air Berlin specifically returned a large number of slots for the summer season 2017 at various German commercial airports in January 2017. According to the findings of the airport coordinator, there were no irregularities in the allocation of the slots returned by Air Berlin in favor of Lufthansa. Rather, Lufthansa benefited from the slot allocation to the usual extent and at a comparable level as all other competitors who had submitted corresponding applications and were on the waiting list, from the slots returned, among others, by Air Berlin. In particular, there was no indication that Lufthansa had submitted its own applications in such a way that they would have matched the slots returned by Air Berlin to a greater extent than the applications of other airlines. Thus, Lufthansa had no relevant advantage over its competitors in the now conducted slot allocation for the upcoming summer season.</w:t>
      </w:r>
    </w:p>
    <w:p>
      <w:r>
        <w:t>Moreover, there are predominantly no special slot shortages on the routes where the aircraft covered by the project are to be deployed. These routes are thus accessible to competitors before and after the implementation of the project. Against this background, the project lacks any legal or even factual connection to the allocation of slots for the upcoming flight season in favor of the acquirer Lufthansa. For these reasons, the project, based on the conventional, route-related definition of the relevant market, ultimately did not give rise to competitive concerns within the meaning of § 36 para. 1 GWB.</w:t>
      </w:r>
    </w:p>
    <w:p>
      <w:r>
        <w:t>Overall market consideration of all point-to-point traffic to and from Germany/Austria</w:t>
      </w:r>
    </w:p>
    <w:p>
      <w:r>
        <w:t>For the purposes of the substantive assessment, it was appropriate due to the lack of route reference to focus on the competitive potential that Lufthansa gains through the execution of the wet lease agreement.</w:t>
      </w:r>
    </w:p>
    <w:p>
      <w:r>
        <w:t>- The competitive potential accruing to Lufthansa is clearly defined in terms of its scope; as the aircraft provided under the wet lease agreement are twin-engine short- and medium-haul aircraft that are available to Lufthansa for the duration of the contract. The operational area of these aircraft is spatially limited to the achievable short- and medium-haul distance, especially to and from Germany/Austria, given their stationing and the stationing of the crews (bases). Within this spatial area, Lufthansa can generally deploy the 38 aircraft during the contract term – as long as the corresponding slots are available – on any routes. This market understanding was explicitly described as appropriate and reasonable by both surveyed customers and some of Lufthansa's competitors.</w:t>
      </w:r>
    </w:p>
    <w:p>
      <w:r>
        <w:t>- In contrast, an overall market consideration in terms of all conceivable point-to-point connections within the above-defined area without reference to the defined bases and thus without spatial reference to Germany and Austria would appear too broad and therefore no longer appropriate. However, it should be noted that with regard to the delineation of the relevant market, it was to be expansively considered that Lufthansa will potentially be able to offer point-to-point connections outside of Germany/Austria with its own medium-haul aircraft and at least partially with the 38 leased aircraft, and thus particularly attack competitor routes in other European countries. Recently, low-cost carriers have begun to operate initial point-to-point traffic within Germany from other established airlines.</w:t>
      </w:r>
    </w:p>
    <w:p>
      <w:r>
        <w:t>The project ultimately did not give rise to competitive concerns within the meaning of § 36 para. 1 GWB based on this definition of the relevant market.</w:t>
      </w:r>
    </w:p>
    <w:p>
      <w:r>
        <w:t>- Considering the passenger numbers for the past winter season 2015/2016 as well as for the past summer season 2016 in the above-defined market area with route reference to/from Germany/Austria, it can be determined that the resulting market shares of Lufthansa (group consideration) including the passengers transported with the 38 wet lease aircraft from Air Berlin were each below the presumption threshold for market dominance.</w:t>
      </w:r>
    </w:p>
    <w:p>
      <w:r>
        <w:t>- If one considers the offered capacities in a similar manner, these are slightly above the presumption threshold of 40% for the Lufthansa group, taking into account the wet lease aircraft. However, it should be noted in the interpretation of the capacity figures that Lufthansa – unlike low-cost carriers such as Ryanair or Easyjet – largely does not operate in point-to-point traffic outside of the hubs, but rather has to accept a lot of short- and medium-haul traffic with a relatively low seat load factor on the feeder routes to the hubs in order to ensure the feed for long-haul flights from the hubs. Therefore, a capacity consideration here is of little significance. Additionally, it should be taken into account that this result is based on a rather narrow market definition (with a mandatory route reference to/from Germany/Austria), where no point-to-point connections outside of this area are accounted for.</w:t>
      </w:r>
    </w:p>
    <w:p>
      <w:r>
        <w:t>- Conversely, if one were to base a broad market definition on all point-to-point connections within the above-defined spatial area without a mandatory reference to Germany/Austria, which roughly corresponds to the operational field of airlines such as Ryanair or Easyjet, then the resulting...</w:t>
      </w:r>
    </w:p>
    <w:p>
      <w:r>
        <w:rPr>
          <w:b/>
        </w:rPr>
        <w:t>[Pages 7–9]</w:t>
      </w:r>
    </w:p>
    <w:p>
      <w:r>
        <w:t>the present investigation results indicate market shares of the Lufthansa Group well below the presumption threshold for market dominance.</w:t>
      </w:r>
    </w:p>
    <w:p>
      <w:r>
        <w:t>- If one considers the overall size of the fleets of airlines operating in Europe as an additional criterion for competitive assessment, the Lufthansa Group, even after the execution of the wet lease agreement, has a share of approximately 20%, which is on par with the IAG Group (BAe, Iberia). Furthermore, other airlines are also planning significant fleet expansions in the short term.</w:t>
      </w:r>
    </w:p>
    <w:p>
      <w:r>
        <w:t>- In terms of absolute passenger numbers, Lufthansa has fallen behind Ryanair despite increases in the fiscal year 2016. On a group level, Lufthansa transported 109.67 million passengers in the past year, which is 1.8 percent more than the previous year. However, Ryanair was able to increase its number of passengers by 15% to 117 million, significantly surpassing Lufthansa.</w:t>
      </w:r>
    </w:p>
    <w:p>
      <w:r>
        <w:t>- In light of the resources of competitors presented, the number of airports with no or only minor access issues, and the slot allocation system at coordinated airports, market entries at a multitude of German airports by these air transport providers are possible.</w:t>
      </w:r>
    </w:p>
    <w:p>
      <w:r>
        <w:t>- The market counterpart (large customers, travel agents) has predominantly not articulated any competitive concerns regarding the project.</w:t>
      </w:r>
    </w:p>
    <w:p>
      <w:r>
        <w:t>Registration Requirement of the Project</w:t>
        <w:br/>
        <w:t>In the absence of substantive competitive concerns, the project was to be cleared under merger control law according to §§ 35 et seq. GWB, without a conclusive decision needing to be made on the question of the merger threshold in the sense of German merger control law.</w:t>
      </w:r>
    </w:p>
    <w:p>
      <w:r>
        <w:t>- For instance, Ryanair plans to acquire 50 new aircraft for deployment in continental Europe in 2017. See: http://www.sueddeutsche.de/wirtschaft/brexit-ryanair-will-keine-flugzeuge-mehr-in-grossbritannien-stationieren-1.3054769</w:t>
      </w:r>
    </w:p>
    <w:p>
      <w:r>
        <w:t>- See: http://www.manager-magazin.de/unternehmen/artikel/passagierzahlen-ryanair-ueberholt-lufthansa-a-1129384.html</w:t>
      </w:r>
    </w:p>
    <w:p>
      <w:r>
        <w:t>- Prior to the notification to the Bundeskartellamt, the European Commission examined the project notified there on September 30, 2016, and concluded that it does not constitute a merger in the sense of European merger control law (Art. 3 EUMR); this was communicated to the parties by letter dated November 17, 2016 (Case M.8245).</w:t>
      </w:r>
    </w:p>
    <w:p>
      <w:r>
        <w:t>- The parties argued before the Bundeskartellamt that the conclusion of the wet lease agreement does not constitute a merger in the sense of German merger control law (acquisition of assets or control according to § 37 para. 1 no. 1 or no. 2 GWB). Although the revenue thresholds are met (§ 35 para. 1 GWB), it is merely a lease of use (including ancillary services), which does not fulfill the criteria for a merger. The notification to the Bundeskartellamt was therefore made only as a precaution.</w:t>
      </w:r>
    </w:p>
    <w:p>
      <w:r>
        <w:t>- However, in the present constellation, there were several indications for the assumption of the acquisition of a substantial asset in the sense of § 37 para. 1 no. 1 GWB. First, it should be noted that an asset acquisition in the sense of § 37 para. 1 no. 1 GWB does not necessarily require the acquisition of full rights. Regarding the duration of the contracts, it should be noted that a six-year contract duration is exceptionally long for air traffic, far exceeding the specific route planning horizon of typical airlines. Furthermore, the 38 aircraft represent a significant part—almost a quarter—of the current fleet of Air Berlin. This significant portion of the fleet is capable of strengthening Lufthansa's position in the relevant market here (point-to-point traffic to and from Germany/Austria); the fleet increase in terms of aircraft amounts to approximately 7%. Thus, the acquired asset is also "substantial" in the sense of the law. Because regarding the availability of the 38 aircraft along with crew and the associated competitive potential, Lufthansa enters the previous market position of Air Berlin in the overall market during the contract term. It is inconsequential that due to the lack of route reference, no merger-related transfer of market positions on individual routes could be established.</w:t>
      </w:r>
    </w:p>
    <w:p>
      <w:r>
        <w:t>- The transfer of market position in the relevant overall market is secured by the intended additional agreements with third parties (conclusion of dry lease agreements for up to ten aircraft and the purchase of up to 15 aircraft, see above). This applies to approximately two-thirds of the affected aircraft. Although this strengthening of control and thus the market position of Lufthansa arises from contracts with third parties, it still has competitive effects even beyond the duration of the wet lease agreement and should be additionally considered as a competitively relevant element in the examination of the conditions of asset acquisition.</w:t>
      </w:r>
    </w:p>
    <w:p>
      <w:r>
        <w:t>- The fulfillment of the conditions of § 37 para. 1 no. 2 GWB (acquisition of joint control) was also to be considered in this case.</w:t>
      </w:r>
    </w:p>
    <w:p>
      <w:r>
        <w:t>Ultimately, the question of whether the conditions for one or more merger criteria in the sense of German merger control law were met could remain open in light of the fact that there were no substantive concerns against the project (see above). Whether the project will be examined under the rules for anti-competitive agreements (Art. 101 TFEU, §§ 1, 2 GWB) will be decided at a later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