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http://www.bundeskartellamt.de/SharedDocs/Entscheidung/DE/Fallberichte/Kartellverbot/2013/B9-192-11.pdf;jsessionid=9A107399C6761123B78920B1A2D4CC75.2_cid387?__blob=publicationFile&amp;v=3</w:t>
      </w:r>
    </w:p>
    <w:p>
      <w:r>
        <w:t>Pages translated : 3</w:t>
      </w:r>
    </w:p>
    <w:p/>
    <w:p>
      <w:r>
        <w:rPr>
          <w:b/>
        </w:rPr>
        <w:t>[Pages 1–3]</w:t>
      </w:r>
    </w:p>
    <w:p>
      <w:r>
        <w:t>1</w:t>
        <w:br/>
        <w:t>Case Report August 27, 2013</w:t>
        <w:br/>
        <w:t>Public Transport - No Evidence of Antitrust Violations in the Rhein-Sieg Transport Association</w:t>
        <w:br/>
        <w:t>Industry: Public Road Passenger Transport</w:t>
        <w:br/>
        <w:t>File Number: B9-192/11</w:t>
        <w:br/>
        <w:t>Date of Decision: July 18, 2013</w:t>
        <w:br/>
        <w:t>By letter dated July 18, 2013, the Federal Cartel Office informed five private transport companies from the Rhein-Sieg Transport Association1 (VRS) that it would not pursue any of the points raised in their complaint submitted in 2011. The Federal Cartel Office sees no evidence of violations of the Act Against Restraints of Competition (GWB) in the behaviors criticized by the complainants.</w:t>
      </w:r>
    </w:p>
    <w:p>
      <w:r>
        <w:t>The complainants are private transport companies that provide transport services in the VRS area on behalf of the contracting authorities and operate various bus lines based on concessions under the Passenger Transport Act (PBefG). As members of the VRS, the complainants apply the VRS association fare just like the public transport companies represented in the VRS.</w:t>
      </w:r>
    </w:p>
    <w:p>
      <w:r>
        <w:t>The complaint concerns the so-called contracting authority market of public road passenger transport (ÖSPV), where the contracting authorities – usually municipalities or, for example, associations established by them – demand transport services in the area of bus, tram, and trolleybus transport. Providers in this market are public and private transport companies that compete for the operation of the tendered lines ("competition for the market"). The Federal Cartel Office delineates this contracting authority market in the ÖSPV regionally2. The present complaint concerns the area of the VRS in southern North Rhine-Westphalia and northern Rhineland-Palatinate. In the markets thus delineated, a dominant market position of the respective contracting authorities3 on the demand side is to be assumed.</w:t>
      </w:r>
    </w:p>
    <w:p>
      <w:r>
        <w:t>2</w:t>
        <w:br/>
        <w:t>Furthermore, it is to be assumed that the public transport companies hold a dominant market position4 on the supply side. Due to these dominant market positions, both the contracting authorities and the public transport companies are subject to the antitrust abuse regulations pursuant to §§ 19, 20 GWB. Insofar as the criticized behaviors of the public transport companies and the contracting authorities have effects both in North Rhine-Westphalia and in Rhineland-Palatinate, the Federal Cartel Office has jurisdiction pursuant to § 48 para. 2 GWB.</w:t>
      </w:r>
    </w:p>
    <w:p>
      <w:r>
        <w:t>In their complaint, the private transport companies presented several aspects that have led to the deterioration of their economic situation and in which they see antitrust violations by the public transport companies in the VRS or by the contracting authorities responsible for the complainants.</w:t>
      </w:r>
    </w:p>
    <w:p>
      <w:r>
        <w:t>The investigations of the Federal Cartel Office initially confirmed the complainants' assertion that a multitude of causes have contributed to the deterioration of the economic situation of the private transport companies. Among other things, these include reduced subsidies for training transport, adjustments in the revenue distribution in the VRS due to an updated passenger count, as well as an increase in the VRS association fare that the complainants consider too low. Additionally, some of the complainants currently do not receive any financial compensation from the contracting authorities beyond the subsidies for training transport.</w:t>
      </w:r>
    </w:p>
    <w:p>
      <w:r>
        <w:t>However, the Federal Cartel Office does not recognize any violation of the GWB in any of the allegations presented:</w:t>
        <w:br/>
        <w:t>The declines in the training flat rate on the part of the complainants are due to changes in the legal basis. Since 2011, the training transport flat rate has been regulated by state law. In North Rhine-Westphalia, the subsidies for training transport for both public and private transport companies have since been based on the actual number of students transported by a company. The Federal Cartel Office considers this criterion to be appropriate; no unequal treatment of private transport companies is recognizable.</w:t>
      </w:r>
    </w:p>
    <w:p>
      <w:r>
        <w:t>The Federal Cartel Office did not investigate the issue of revenue distribution in detail. On the one hand, this topic is the subject of a conciliation procedure pending between the complainants and the VRS before the Higher Regional Court of Cologne. On the other hand, decisions regarding revenue distribution require unanimity in the decision-making body of the VRS. Thus, such decisions can only be made with the consent of both public and private transport companies, which is why there are no indications of antitrust discrimination against the complainants by the public transport companies.</w:t>
      </w:r>
    </w:p>
    <w:p>
      <w:r>
        <w:t>The increases in the VRS association fare, which the complainants consider insufficient, also do not constitute an antitrust violation from the perspective of the Federal Cartel Office. Considering the financial burdens of additional fare increases for the over 500 million passengers annually in the VRS area, it is deemed factually justified if the fares only increase to a lesser extent than demanded by the complainants.</w:t>
      </w:r>
    </w:p>
    <w:p>
      <w:r>
        <w:t>Investigations regarding the alleged refusal of the contracting authorities to grant the complainants financial compensation for the provision of transport services have revealed that the majority of the complainants currently do not meet the formal requirements for financial compensation beyond the training transport flat rate. The complainants predominantly provide self-financed services based on § 8 para. 4 PBefG, meaning their line approval is based on the premise that the revenues from their transport services can cover the costs. Compensation payments can only be granted by the contracting authorities if the respective transport services can no longer be provided on a self-financed basis (§ 8a para. 1 sentence 1 PBefG). Only if transport companies provide evidence that a self-financed, cost-covering operation of the services is no longer possible can the contracting authorities grant compensation for public service transport. Public service transport can equally be provided by public and private transport companies. Details regarding the awarding of public service transport are regulated in Regulation (EC) No. 1370/2007 and in the PBefG.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