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https://www.bundeskartellamt.de/SharedDocs/Entscheidung/DE/Entscheidungen/Kartellverbot/2001/B9-194-00.pdf?__blob=publicationFile&amp;v=3</w:t>
      </w:r>
    </w:p>
    <w:p>
      <w:r>
        <w:t>Pages translated : 11</w:t>
      </w:r>
    </w:p>
    <w:p/>
    <w:p>
      <w:r>
        <w:rPr>
          <w:b/>
        </w:rPr>
        <w:t>[Pages 1–3]</w:t>
      </w:r>
    </w:p>
    <w:p>
      <w:r>
        <w:t>Federal Cartel Office</w:t>
        <w:br/>
        <w:t>9th Decision Division</w:t>
        <w:br/>
        <w:t>B 9 – 63401 – 194/00 –</w:t>
        <w:br/>
        <w:t>PUBLISHABLE</w:t>
        <w:br/>
        <w:t>VERSION</w:t>
        <w:br/>
        <w:t>Decision</w:t>
        <w:br/>
        <w:t>In the administrative procedure</w:t>
        <w:br/>
        <w:t>1. Johann Birkart Internationale Spedition GmbH &amp; Co. KG, Aschaffenburg</w:t>
        <w:br/>
        <w:t>2. Cordes &amp; Simon GmbH &amp; Co. KG, Hagen,</w:t>
        <w:br/>
        <w:t>3. Hellmann Worldwide Logistics GmbH &amp; Co. KG, Osnabrück,</w:t>
        <w:br/>
        <w:t>4. Honold GmbH &amp; Co., Neuulm,</w:t>
        <w:br/>
        <w:t>5. Nathe GmbH &amp; Co., Unna,</w:t>
        <w:br/>
        <w:t>6. M &amp; M Militzer &amp; Münch GmbH, Hof / Saale,</w:t>
        <w:br/>
        <w:t>7. Streck Transportgesellschaft mbH, Lörrach,</w:t>
        <w:br/>
        <w:t>8. Friedrich Zufall GmbH &amp; Co. KG, Internationale Spedition, Göttingen,</w:t>
        <w:br/>
        <w:t>9. Transit Transport Flensburg GmbH &amp; Co. KG, Flensburg,</w:t>
        <w:br/>
        <w:t>10. SieFu Spedition GmbH, Langenfeld,</w:t>
        <w:br/>
        <w:t>11. L.W. Cretschmer GmbH &amp; Co. KG, Düsseldorf,</w:t>
        <w:br/>
        <w:t>12. Wilhelm Diehl, Internationale Spedition GmbH &amp; Co., Esslingen,</w:t>
        <w:br/>
        <w:t>13. Hubert Elsen GmbH &amp; Co. KG, Wittlich,</w:t>
        <w:br/>
        <w:t>14. System-Alliance GmbH, Niederaula,</w:t>
        <w:br/>
        <w:t>- Applicants –</w:t>
        <w:br/>
        <w:t>Authorized representatives:</w:t>
        <w:br/>
        <w:t>Attorneys</w:t>
        <w:br/>
        <w:t>Beckenbauer, Koerdt &amp; Kayser</w:t>
        <w:br/>
        <w:t>Bodelschwingstraße 37</w:t>
        <w:br/>
        <w:t>58706 Menden</w:t>
        <w:br/>
        <w:t>regarding permission for a rationalization cartel under § 5 para. 1 and 2 of the Act against Restraints of Competition (GWB), the 9th Decision Division of the Federal Cartel Office has decided on December 3, 2001:</w:t>
        <w:br/>
        <w:t>1. The permission for the articles of association of System-Alliance GmbH in the version of September 1, 2000, and the system partner agreement (as of September 2000) is granted until January 1, 2007, and is subject to the following conditions (§ 10 para. 4 sentence 3 GWB):</w:t>
      </w:r>
    </w:p>
    <w:p>
      <w:r>
        <w:t>- 2 -</w:t>
        <w:br/>
        <w:t>2. The Federal Cartel Office must be notified in writing without delay of:</w:t>
        <w:br/>
        <w:t>a) changes to the articles of association,</w:t>
        <w:br/>
        <w:t>b) changes to the system partner agreement,</w:t>
        <w:br/>
        <w:t>c) changes in the beneficial owner of a company,</w:t>
        <w:br/>
        <w:t>d) changes in the circle of system partners.</w:t>
        <w:br/>
        <w:t>3. An intentional or negligent violation of these conditions after the entry into force of this decision is an administrative offense subject to a fine (§ 81 para. 1 no. 5 para. 2 GWB).</w:t>
        <w:br/>
        <w:t>4. The fee for the decision on the application for permission is set at</w:t>
        <w:br/>
        <w:t>[ xxx ]</w:t>
        <w:br/>
        <w:t>and imposed on applicants 1 to 14 as joint debtors.</w:t>
        <w:br/>
        <w:t>Reasons:</w:t>
        <w:br/>
        <w:t>I. Facts</w:t>
        <w:br/>
        <w:t>1. Previous exemption of the cartel System-Alliance GmbH, formerly System-gut Logistik GmbH</w:t>
        <w:br/>
        <w:t>The original notification of the rationalization cartel – then still System-gut Logistik Service GmbH – was published on April 22, 1986 (BAnz of May 3, 1986).</w:t>
        <w:br/>
        <w:t>By decision of March 31, 1987, the Federal Cartel Office granted permission for the articles of association of System-gut Logistik Service GmbH until April 30, 1992, for a rationalization cartel (BAnz of June 2, 1987).</w:t>
        <w:br/>
        <w:t>By decision of July 10, 1992, the Federal Cartel Office extended the permission for the rationalization cartel of System-gut Logistik Service GmbH until April 30, 1997 (BAnz of February 6, 1993).</w:t>
      </w:r>
    </w:p>
    <w:p>
      <w:r>
        <w:t>- 3 -</w:t>
        <w:br/>
        <w:t>By decision of April 9, 1997, the Federal Cartel Office extended the permission for the continuation of the rationalization cartel until April 30, 2002 (BAnz of April 30, 1997).</w:t>
        <w:br/>
        <w:t>2. Exemption application System-Alliance GmbH</w:t>
        <w:br/>
        <w:t>By letter dated January 22, 2001, the rationalization cartel, now renamed System-Alliance GmbH, was informed that according to § 131 para. 3 GWB, the permission last granted until April 30, 2002, is valid only until December 31, 1999, at the latest. It was therefore pointed out that a new exemption application under § 10 GWB is required for the continuation of the cartel.</w:t>
        <w:br/>
        <w:t>By letter dated February 6, 2001, applicants 1 to 13 submitted the application for the extension of the exemption for the rationalization cartel System-gut Logistik Service – now System-Alliance – under § 10 para. 5 in conjunction with § 5 para. 1 GWB, alternatively a new application for the rationalization cartel System-gut Logistik Service - now System-Alliance – under § 5 para. 1 GWB.</w:t>
        <w:br/>
        <w:t>3. The Applicants</w:t>
        <w:br/>
        <w:t>Applicants 1 to 13 are companies in the transport industry. The applicants intend to continue a cooperation already established within the framework of the joint venture System-Alliance GmbH (applicant 14).</w:t>
        <w:br/>
        <w:t>The applicants had – according to the findings of the decision division – the following turnovers:</w:t>
      </w:r>
    </w:p>
    <w:p>
      <w:r>
        <w:rPr>
          <w:b/>
        </w:rPr>
        <w:t>[Pages 4–6]</w:t>
      </w:r>
    </w:p>
    <w:p>
      <w:r>
        <w:t>- 4 -</w:t>
        <w:br/>
        <w:t>Million DM – 1998</w:t>
        <w:br/>
        <w:t>1. Birkart 1,250</w:t>
        <w:br/>
        <w:t>2. Cordes &amp; Simon 472</w:t>
        <w:br/>
        <w:t>3. Hellmann 2,300</w:t>
        <w:br/>
        <w:t>4. Honold 235</w:t>
        <w:br/>
        <w:t>5. Nathe / Interspe 1,270</w:t>
        <w:br/>
        <w:t>6. M &amp; M Militzer &amp; Münch 1,000</w:t>
        <w:br/>
        <w:t>7. Streck 500</w:t>
        <w:br/>
        <w:t>8. Zufall 361</w:t>
        <w:br/>
        <w:t>9. Transit Transport Flensburg (TTF) 135</w:t>
        <w:br/>
        <w:t>10. SieFu Spedition 60</w:t>
        <w:br/>
        <w:t>11. Cretschmer 250</w:t>
        <w:br/>
        <w:t>12. Wilhelm Diehl 85</w:t>
        <w:br/>
        <w:t>13. Hubert Elsen 68</w:t>
        <w:br/>
        <w:t>In total, approximately 20,000 companies are active in the road freight transport sector in Germany's domestic market.</w:t>
      </w:r>
    </w:p>
    <w:p>
      <w:r>
        <w:t>4. The Cooperation</w:t>
        <w:br/>
        <w:t>The cooperation conducted by the applicant at 14 organizes all market-typical forwarding services in Germany (with certain exceptions such as refrigerated goods, hazardous materials, typical parcel services, air and sea transport, etc.)</w:t>
        <w:br/>
        <w:t>The joint venture at 14 maintains a forwarding and organizational system as a "system provider" for the execution of forwarding services in Germany, particularly through</w:t>
        <w:br/>
        <w:t>- the establishment of a comprehensive network,</w:t>
        <w:br/>
        <w:t>- comprehensive service to all locations in Germany,</w:t>
        <w:br/>
        <w:t>- maintenance of the organization (controlling, depots),</w:t>
        <w:br/>
        <w:t>- billing system.</w:t>
        <w:br/>
        <w:t>The shareholders commit to not competing with the company (applicant at 14) in the area of the company's subject matter (§ 12 of the system partner agreement). [ xxx ]</w:t>
      </w:r>
    </w:p>
    <w:p>
      <w:r>
        <w:t>- 5 -</w:t>
        <w:br/>
        <w:t>Each system partner is assigned according to § 4 of the system partner agreement</w:t>
        <w:br/>
        <w:t>(1) a contractual area</w:t>
        <w:br/>
        <w:t>(2) a production area</w:t>
        <w:br/>
        <w:t>(3) a sales area.</w:t>
        <w:br/>
        <w:t>In the contractual area, the system partner must ensure all services. In the production area, the system partner, alongside other system partners, is entitled to provide services. In the sales area, the system partner is entitled to sell services.</w:t>
      </w:r>
    </w:p>
    <w:p>
      <w:r>
        <w:t>II. New Application for Permission for System-Alliance GmbH</w:t>
        <w:br/>
        <w:t>According to § 131 para. 3 GWB, it follows that with the transitional period mentioned there, an issued cartel permission expires and a new permission must be applied for (cf. Bechtold, GWB, 2nd ed., § 131 para. 3).</w:t>
        <w:br/>
        <w:t>This application of the rationalization cartel System-Alliance was submitted by letter dated February 6, 2001, and published in the Federal Gazette on July 10, 2001. No objections have been raised.</w:t>
      </w:r>
    </w:p>
    <w:p>
      <w:r>
        <w:t>III. Legal Assessment</w:t>
        <w:br/>
        <w:t>1. The Relevant Market</w:t>
        <w:br/>
        <w:t>The relevant market for System-Alliance is forwarding services for general national cargo transport.</w:t>
      </w:r>
    </w:p>
    <w:p>
      <w:r>
        <w:t>2. Exemption under § 5 para. 1 GWB</w:t>
        <w:br/>
        <w:t>a) Facts of § 1 GWB</w:t>
        <w:br/>
        <w:t>The agreements of the applicants in the system partner and in the partnership agreement constitute a cartel agreement under § 1 GWB. The subject of the partnership is the joint organization of market-typical services in Germany, particularly the establishment of a comprehensive network, and a joint sales and marketing concept. The system partner agreement also contains territorial arrangements (§ 4 system partner agreement).</w:t>
        <w:br/>
        <w:t>The applicant companies are in competition with each other.</w:t>
      </w:r>
    </w:p>
    <w:p>
      <w:r>
        <w:t>- 6 -</w:t>
        <w:br/>
        <w:t>The contracts are also suitable for significantly influencing market conditions in the provision of transport services in the general cargo transport sector by restricting competition. Through System-Alliance, a total turnover of nearly half a billion is accounted for and organized. The applicants together have a market share in the national market for general cargo transport of about 4%. System-Alliance is the eighth largest company in this market based on turnover. Given this share, the contractual framework is suitable for significantly impairing competition.</w:t>
      </w:r>
    </w:p>
    <w:p>
      <w:r>
        <w:t>b) Rationalization</w:t>
        <w:br/>
        <w:t>Rationalization of a company's economic processes within the meaning of § 5 para. 1 GWB means increasing economic efficiency by improving the ratio of costs to returns.</w:t>
        <w:br/>
        <w:t>The "System-Alliance" contractual framework reduces administrative and organizational effort, particularly through central billing and the establishment of a data network system, leads to achieving higher, qualitatively better transport services, and contributes to better utilizing the transport and handling capacities of the participants. The system further leads to shorter and more accurately scheduled transport times.</w:t>
        <w:br/>
        <w:t>These measures are suitable for each of the applicants, in the areas of organization and administration as well as in service provision (production of transport services), either to achieve the same returns as before with lower effort or to achieve greater increases in returns with greater or the same effort, thereby serving the rationalization of economic processes.</w:t>
        <w:br/>
        <w:t>The measures in collection and distribution logistics, the processing through central handling operations, the use of uniform IT-compliant forms, and the increased utilization of transport capacities directly lead to a reduction in the costs of the produced transport services. They increase the efficiency of each of the applicants to this extent and enhance their performance capability. The qualitative improvements in transport services are rewarded by the market with higher prices.</w:t>
        <w:br/>
        <w:t>For the assessment of whether the intended measures are suitable to significantly enhance performance capability or efficiency, the</w:t>
      </w:r>
    </w:p>
    <w:p>
      <w:r>
        <w:rPr>
          <w:b/>
        </w:rPr>
        <w:t>[Pages 7–9]</w:t>
      </w:r>
    </w:p>
    <w:p>
      <w:r>
        <w:t>- 7 -</w:t>
        <w:br/>
        <w:t>associated cost reductions and revenue increases are to be considered. In particular, a significant reduction in complaints and a substantial decrease in overhead costs through centralized billing clearing among the shareholders will increase the efficiency for each of the applicants. In the opinion of the decision-making department, these aspects are sufficient to affirm the significance.</w:t>
      </w:r>
    </w:p>
    <w:p>
      <w:r>
        <w:t>The contractual framework is suitable for improving the satisfaction of demand in the relevant market and is also causally related to the improvements. The applicants offer a fast delivery service for general cargo under "System-Alliance." They are responding to the changing transport needs of shippers and recipients. Shippers desire fast, reliable, and comprehensive transport offers preferably from a single source, thereby reducing their own storage costs, among other things. The same applies to the recipients, who are generally not end consumers but rather processors or resellers of the general cargo in question.</w:t>
      </w:r>
    </w:p>
    <w:p>
      <w:r>
        <w:t>c) Proportionality</w:t>
        <w:br/>
        <w:t>The success of rationalization of the "System-Alliance" contractual framework is in a reasonable proportion to the associated restrictions of competition. The extent of the rationalization success, as well as the resulting improvement in demand satisfaction, is, as stated above, significant. On the other hand, the restrictions of competition between the applicants and their effects on the relevant market are not very severe:</w:t>
        <w:br/>
        <w:t>- The applicants are not obliged to utilize the cartel's services. As the revenues of the applicants in the relevant market overall compared to the revenue within the framework of the cartel show, the applicants predominantly do not utilize the services of the cartel and forgo the use of the system's brand (§ 1 no. 3 of the system partner agreement).</w:t>
        <w:br/>
        <w:t>- The contractual non-competition clause is temporally limited to the membership in the cooperation and materially limited to its subject matter (§ 12 system partner agreement). Its effect is restricted because the shipping units are variable.</w:t>
      </w:r>
    </w:p>
    <w:p>
      <w:r>
        <w:t>- 8 -</w:t>
        <w:br/>
        <w:t>- Even if price components are cartelized through transfer prices, the internal performance billing of the system does not affect the pricing authority of the system partners in external relations (§ 9 no. 3 system partner agreement).</w:t>
        <w:br/>
        <w:t>- Within the contractual area of each system partner, this partner essentially operates with customer protection for System-Alliance (§ 4 system partner agreement). However, this only applies as long as the system partner appears under the brand of System-Alliance.</w:t>
      </w:r>
    </w:p>
    <w:p>
      <w:r>
        <w:t>In light of the described market conditions in the relevant market of general cargo transport and the objectively limited competition restrictions necessary for functionality, the presented and generally plausible rationalization successes in the balancing have a decisive weight against the comparatively minor competition restrictions. The decision-making department has also taken into account the previous market position of the participating companies in the area of general cargo transport. It has also considered that "System-Alliance" only holds a relatively small market share (see below d)).</w:t>
      </w:r>
    </w:p>
    <w:p>
      <w:r>
        <w:t>d) Dominant Position</w:t>
        <w:br/>
        <w:t>The cooperation agreement does not lead to the creation or strengthening of a dominant market position. The volume of this market was over 11 billion DM in 1999 (see: The "TOP 100" of Logistics, Nuremberg 2000). The highest-revenue applicants have the following revenues in the relevant market (1999 = in million DM):</w:t>
        <w:br/>
        <w:t>Company Revenue</w:t>
        <w:br/>
        <w:t>Hellmann Group 490</w:t>
        <w:br/>
        <w:t>Birkart 240</w:t>
        <w:br/>
        <w:t>Interspe Hamann / Nathe 170</w:t>
        <w:br/>
        <w:t>Cordes &amp; Simon 160</w:t>
        <w:br/>
        <w:t>Streck 120</w:t>
        <w:br/>
        <w:t>Zufall 115</w:t>
        <w:br/>
        <w:t>Honold 110</w:t>
        <w:br/>
        <w:t>1,405</w:t>
        <w:br/>
        <w:t>Source: The "TOP 100" of Logistics, Nuremberg, 2000</w:t>
      </w:r>
    </w:p>
    <w:p>
      <w:r>
        <w:t>- 9 -</w:t>
        <w:br/>
        <w:t>If we add the missing five companies to the revenue of the seven largest companies participating in System-Alliance, the total revenue of the cooperation members in the market for general national general cargo transport would amount to approximately 1.6 billion DM. This corresponds to a market share of about 15%. Of this, the cooperation members only process a part, namely about a quarter (approximately 425 million DM) through System-Alliance. This quarter corresponds to about 4% of the total market for general national general cargo transport.</w:t>
      </w:r>
    </w:p>
    <w:p>
      <w:r>
        <w:t>The most significant competitors are ABX – BahnTrans, Dachser, Schenker, and Nedlloyd. All of them are larger in revenue in this market than the cooperation participants. The three leading companies in this market (ABX-BahnTrans, Dachser, Schenker) each hold a market share of about 7% and thus each individually more than System-Alliance combined. These three leading companies handle approximately 22% of the total market volume for general cargo transport.</w:t>
      </w:r>
    </w:p>
    <w:p>
      <w:r>
        <w:t>With the liberalization of freight transport, significant market entry barriers have been removed. The market behavior is characterized by a buyer's market situation, which arises from the high transport capacity and the multitude of small businesses in a context of increasingly tight and qualitatively demanding demand from shippers. Shippers generally face significant competitive pressure in their goods markets, the intensity of which increasingly leads them to demand more favorable and precise transport times, quality, and comprehensive services.</w:t>
      </w:r>
    </w:p>
    <w:p>
      <w:r>
        <w:t>In this situation of growing performance expectations, the share of transport performance that is carried out outside of efficient transport systems is tending to decrease. Even efficient companies in the transport industry can only assert themselves in a market changing in this way through cooperation.</w:t>
      </w:r>
    </w:p>
    <w:p>
      <w:r>
        <w:t>In light of these circumstances, the emergence or strengthening of a dominant market position through the rationalization cartel is not to be expected.</w:t>
      </w:r>
    </w:p>
    <w:p>
      <w:r>
        <w:rPr>
          <w:b/>
        </w:rPr>
        <w:t>[Pages 10–11]</w:t>
      </w:r>
    </w:p>
    <w:p>
      <w:r>
        <w:t>- 10 -</w:t>
        <w:br/>
        <w:t>e) Price Agreements</w:t>
        <w:br/>
        <w:t xml:space="preserve">The internal performance accounting through transfer prices, a regulation of price components within the meaning of § 5 para. 2 GWB, is essential for the intended rationalization success. </w:t>
        <w:br/>
        <w:t>For the nationwide comprehensive system transport of general cargo, price agreements between the cartel members are necessary: Without internally agreed transfer prices, none of the applicants could trust that their own services for the system, to which they have generally committed themselves, would be compensated by the known fees of the partners, or that they could avail themselves of the transport services of the partners at fixed prices. The transfer prices are a necessary condition without which the cohesion of the cooperation cannot be guaranteed and the intended rationalization success cannot be achieved. Without fixed transfer prices, a concentration on individually favorable services for the companies could occur. This would undermine the cooperation and prevent the rationalization success.</w:t>
      </w:r>
    </w:p>
    <w:p>
      <w:r>
        <w:t>f) Duration</w:t>
        <w:br/>
        <w:t>The permission under § 5 GWB should generally not be granted for a longer period than five years (§ 10 para. 4 GWB). The decision-making department considers the granting of permission for this period of five years to be warranted in this case as well.</w:t>
      </w:r>
    </w:p>
    <w:p>
      <w:r>
        <w:t>g) Conditions</w:t>
        <w:br/>
        <w:t>The imposed conditions are based on § 10 para. 4 GWB. They serve to promptly inform the Federal Cartel Office about such characteristics of the cartel, the alteration of which could also signify a substantial change in the circumstances that are decisive for the permission decision and could therefore lead to the imposition of modified restrictions or conditions and to the revocation of the permission (§ 12 para. 2 no. 1 GWB).</w:t>
      </w:r>
    </w:p>
    <w:p>
      <w:r>
        <w:t>- 11 -</w:t>
        <w:br/>
        <w:t>IV. Fees</w:t>
        <w:br/>
        <w:t>[ xxx ]</w:t>
        <w:br/>
        <w:t>Legal Remedy Information</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period for substantiating the appeal is one month. It begins with the filing of the appeal and can be extended upon request by the presiding judge of the appellate court. The appeal substantiation must contain the statement of the extent to which the decision is being contested and the modification or annulment is being requested, and must specify the facts and evidence on which the appeal is based. </w:t>
        <w:br/>
        <w:t>The appeal and the appeal substantiation must be signed by a lawyer admitted to a German court.</w:t>
        <w:br/>
        <w:t>Dr. Ruppelt Lorentschk Dr. von Barby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