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https://www.bundeskartellamt.de/SharedDocs/Entscheidung/DE/Fallberichte/Missbrauchsaufsicht/2020/B9-208-16.pdf;jsessionid=610D30983E92E1F90E9EDFD64C58E775.1_cid378?__blob=publicationFile&amp;v=6</w:t>
      </w:r>
    </w:p>
    <w:p>
      <w:r>
        <w:t>Pages translated : 7</w:t>
      </w:r>
    </w:p>
    <w:p/>
    <w:p>
      <w:r>
        <w:rPr>
          <w:b/>
        </w:rPr>
        <w:t>[Pages 1–3]</w:t>
      </w:r>
    </w:p>
    <w:p>
      <w:r>
        <w:t xml:space="preserve">Case Report March 2, 2021  </w:t>
        <w:br/>
        <w:t xml:space="preserve">Federal Cartel Office terminates press mail proceedings following commitment declaration by Deutsche Post AG  </w:t>
        <w:br/>
        <w:t xml:space="preserve">Industry: Postal delivery of press products (newspapers and magazines)  </w:t>
        <w:br/>
        <w:t xml:space="preserve">File number: B9-208/16  </w:t>
        <w:br/>
        <w:t>Date of decision: February 26, 2021</w:t>
      </w:r>
    </w:p>
    <w:p>
      <w:r>
        <w:t>The Federal Cartel Office has terminated the proceedings against Deutsche Post AG (DPAG) due to the suspicion of abuse of a dominant market position under § 19 GWB and Art. 102 TFEU in the area of delivery of addressed newspapers and magazines, after DPAG had ceased the behavior originally criticized by the Federal Cartel Office. In 2016, the Federal Cartel Office initiated proceedings against DPAG because there was a suspicion that DPAG was binding its customers in such a way through an impermissible discount structure that its competitors were unlawfully hindered in accessing the shipping volumes of these customers.</w:t>
      </w:r>
    </w:p>
    <w:p>
      <w:r>
        <w:t xml:space="preserve">Regarding the market:  </w:t>
        <w:br/>
        <w:t>The proceedings concerned the area of delivery of addressed newspapers and magazines. Demanders of such delivery services include, among others, publishers, but also associations or health insurance companies that send member magazines. A prerequisite for pursuing abusive behaviors is that a company has a dominant market position or is relatively powerful in the market compared to its competitors or demanders under German antitrust law. Although DPAG denies its dominant position in the area of newspaper and magazine delivery, it has nevertheless agreed to cooperate in the proceedings with the aim of remedying the behaviors criticized by the decision-making division. Due to this willingness to cooperate, the Federal Cartel Office has not made any conclusive determinations regarding the precise market definition and market dominance.</w:t>
      </w:r>
    </w:p>
    <w:p>
      <w:r>
        <w:t xml:space="preserve">Subject of the proceedings:  </w:t>
        <w:br/>
        <w:t>§ 19 GWB requires dominant companies to exercise particular restraint with exclusivity agreements or (loyalty) discounts, as these can potentially have harmful effects, especially when practiced by the addressees of § 19 GWB. In this respect, it must be ensured not only with total supply clauses but also with discounts based on a customer's past or anticipated demand, that no (impermissible) incentive is created to cover the entire or the vast majority of the demand with the market dominator. This would economically equate to cutting off distribution channels through exclusivity agreements. Conversely, this means that the discount system must be designed in such a way that competitors still have a genuine chance to do business with the customers of the market dominator.</w:t>
      </w:r>
    </w:p>
    <w:p>
      <w:r>
        <w:t>The (old) contracts examined in the context of these proceedings contained, according to the initial assessment of the Federal Cartel Office, so-called loyalty or even exclusivity discounts with the effect that alternative senders had only limited chances to compete with DPAG for the delivery of these volumes or parts thereof.</w:t>
      </w:r>
    </w:p>
    <w:p>
      <w:r>
        <w:t xml:space="preserve">Regarding the criticized contractual conditions:  </w:t>
        <w:br/>
        <w:t xml:space="preserve">• Total supply clauses  </w:t>
        <w:br/>
        <w:t>Some of the (old) contracts concluded by DPAG with senders contained explicit, that is, "hard" total supply clauses. Through these, the contracting party committed to handle the delivery of the entire print run of certain or all newspapers and magazines distributed by it through DPAG. Such total supply or total sales clauses represent exclusive purchasing obligations. They are – when used by a dominant company – automatically antitrust illegal.</w:t>
      </w:r>
    </w:p>
    <w:p>
      <w:r>
        <w:t>Partially, the (old) contracts contained so-called "soft" total supply clauses, where the granting of discounts was structured in such a way that senders had no incentive to also use alternative service providers. According to the preliminary assessment of the Federal Cartel Office, the effect of these clauses was comparable to that of an exclusive purchasing obligation. For the total volume agreed with DPAG, there was a particularly high discount. If customers still wanted to use the services of competitors, the granted discounts would not be (retroactively) forfeited. However, in these cases, there was a threat of losing all discounts for the future. Additionally, the discount was calculated on the entire turnover upon reaching certain shipment quantities (discount levels) and not just on the achieved additional quantity.</w:t>
      </w:r>
    </w:p>
    <w:p>
      <w:r>
        <w:t>During the proceedings, DPAG stated that the contractual clauses criticized by the Federal Cartel Office had been eliminated through a corresponding adjustment of the contracts. The Federal Cartel Office then requested samples of the contracts adjusted by DPAG. None of the contracts reviewed by the Federal Cartel Office contained hard or soft total supply clauses anymore. Nevertheless, the Federal Cartel Office subsequently subjected the adjusted discount system to a closer antitrust examination.</w:t>
      </w:r>
    </w:p>
    <w:p>
      <w:r>
        <w:t xml:space="preserve">• Discount system without exclusivity obligation  </w:t>
        <w:br/>
        <w:t>The agreement of discounts without an exclusivity obligation is fundamentally a means of a generally desirable price competition. However, such discount agreements can also have comparable effects to exclusivity obligations when structured in an antitrust illegal manner and create incentives at the expense of third-party providers to cover the vast majority or even the entire demand with DPAG. For the question of potential suction effects, in this case, besides the design of the discounts in terms of type and amount (especially their tiering), billing periods and contract durations, the very clear lead of DPAG over its competitors and its other competitive advantages, for example, regarding the nationwide reach of its delivery network, were also significant.</w:t>
      </w:r>
    </w:p>
    <w:p>
      <w:r>
        <w:rPr>
          <w:b/>
        </w:rPr>
        <w:t>[Pages 4–6]</w:t>
      </w:r>
    </w:p>
    <w:p>
      <w:r>
        <w:t>discount system of DPAG was also reviewed to determine whether it acts in a discriminatory manner among customers, for instance, if the granting of discounts is not based on any particular economic "performance" by the respective customer and/or a cost saving for DPAG (such as foregoing individual delivery days, shipment announcements, customer-side presorting).</w:t>
      </w:r>
    </w:p>
    <w:p>
      <w:r>
        <w:t>Even after the adjustment of the contracts concluded by DPAG to quarterly billing periods and correspondingly shortened termination options, a suction effect, particularly due to the still existing total sales orientation and retroactive effect of the discount granting, could not be ruled out from the perspective of the authority. A non-discriminatory design of the discount system could also not be achieved with certainty based on the comparison of the contracts in the sample according to the aforementioned criteria. In the case of individual customers, the Federal Cartel Office found significant differences regarding the amount of discounts granted, without any immediate objective justification in terms of a sufficiently comprehensible and transparent condition system being apparent after interim assessment.</w:t>
      </w:r>
    </w:p>
    <w:p>
      <w:r>
        <w:t>• Decision for a unit price system and binding declaration</w:t>
        <w:br/>
        <w:t>After the conclusion of the investigations and an intensive exchange regarding the competition law-relevant mechanisms of the adjusted discount structure within the framework of the legal hearing, DPAG decided to completely abandon its previous discount system and to agree with each customer on fixed unit prices for the delivery of addressed newspapers and magazines without additionally differentiated discount levels.</w:t>
      </w:r>
    </w:p>
    <w:p>
      <w:r>
        <w:t>To ensure that the future unit price system does not aim at hindering competitors or discriminating against customers or cause such effects, the Federal Cartel Office and DPAG agreed on a "Binding Declaration," which DPAG adopted as a prerequisite for an amicable termination of the proceedings on February 11, 2021.</w:t>
      </w:r>
    </w:p>
    <w:p>
      <w:r>
        <w:t>The "Binding Declaration" contains important framework conditions for the design of the condition system and the negotiations regarding the delivery of addressed magazines and newspapers between DPAG and its customers:</w:t>
        <w:br/>
        <w:t>When agreeing on a fixed unit price, there is – in itself – not the fundamental danger of a suction effect, which exists in the total sales or loyalty discount system in wanting to reach the next discount level. However, to the knowledge of the Federal Cartel Office, DPAG is currently the only provider with nationwide coverage of its own delivery network. Alternative service providers are generally not able to take on larger quantities without significant lead time. Against this background, it is important to avoid a suction effect in the unit price system in such a way that the customer has special incentives in the next billing period to have as much of their total demand delivered by DPAG as possible, because only then will they benefit from favorable unit prices.</w:t>
      </w:r>
    </w:p>
    <w:p>
      <w:r>
        <w:t>In this respect, care must be taken in the specifications regarding contract durations, termination options, and negotiation options to ensure that DPAG does not derive anti-competitive possibilities from the condition system itself that would sanction customers after they have allocated partial quantities to competitors. Accordingly, the "Binding Declaration" includes, among other things, minimum contract durations that are intended to exclude that DPAG can sanction deviations between the quantities indicated at the conclusion of the contract and the actual quantities even with the short-term allocation of partial quantities to third parties.</w:t>
      </w:r>
    </w:p>
    <w:p>
      <w:r>
        <w:t>Furthermore, termination and renegotiation obligations upon the expiration of contracts must be designed in such a way that there is sufficient time for renegotiations, including with alternative providers, without the customer running the risk of having no shipping partner for the delivery of their press mail or falling back on the unfavorable GTC prices of DPAG.</w:t>
      </w:r>
    </w:p>
    <w:p>
      <w:r>
        <w:t>Additionally, within the framework of a unit price system, there is a risk that the unit price for a competition law-relevant period falls below the costs for the provision of services. Accordingly, the "Binding Declaration" contains an obligation that the unit price agreed with the respective customers must not fall below the average unit costs related to those customers for one year.</w:t>
      </w:r>
    </w:p>
    <w:p>
      <w:r>
        <w:t>Finally, DPAG is obliged to make transparent at appropriate points the possible factors that can lead to a reduction in unit prices during negotiations with customers for all willing customers. This is intended to prevent unjustified unequal treatment of customers.</w:t>
      </w:r>
    </w:p>
    <w:p>
      <w:r>
        <w:t>Regarding the procedural course:</w:t>
        <w:br/>
        <w:t>The Federal Cartel Office, which had already established a violation by DPAG in 2015 (so-called major customer proceedings in the area of letter services) due to a different condition system according to the abuse provisions, surveyed approximately 60 senders of addressed press products at the beginning of 2017 regarding their agreements with DPAG and evaluated the submitted contracts. It informed DPAG about this. In April 2018, the Federal Association of Letter Services e.V. (BBD) was joined as an interested party. In the autumn of 2018, the Federal Cartel Office sent DPAG an initial competition law assessment of the condition system applicable at that time. At the end of 2018, DPAG announced that it had since adjusted its condition system.</w:t>
      </w:r>
    </w:p>
    <w:p>
      <w:r>
        <w:t>This announcement by DPAG was made subject to its view that it was not the addressee of the competition law abuse provisions in the area of delivery of addressed newspapers and magazines. Against the background of a "status report" submitted by DPAG in spring 2019 regarding this adjustment and the integration of further contracts into the adjustment process, DPAG submitted requested customer contracts to the Federal Cartel Office in 2019 as part of a sample and in February 2020 provided final information on the contracts that had already been adjusted. After the Federal Cartel Office completed its review of the contracts and negotiations with DPAG regarding a competition law-compliant adjustment, the interested party was sent a draft of a "Binding Declaration" for the unit price system with the opportunity to comment. The interested party did not submit any comments.</w:t>
      </w:r>
    </w:p>
    <w:p>
      <w:r>
        <w:t>As part of a market test, the draft of the "Binding Declaration" was presented to selected customers of DPAG with the opportunity to comment. The customers' comments, which included issues such as the duration of the unit price agreement, termination options, negotiation periods, and the demand for transparency of</w:t>
      </w:r>
    </w:p>
    <w:p>
      <w:r>
        <w:rPr>
          <w:b/>
        </w:rPr>
        <w:t>[Pages 7–7]</w:t>
      </w:r>
    </w:p>
    <w:p>
      <w:r>
        <w:t>the price-determining factors for all customers were taken into account in the final drafting of the "Binding Declaration" by the Federal Cartel Office – as far as they were capable of being considered and relevant to the decision.</w:t>
      </w:r>
    </w:p>
    <w:p>
      <w:r>
        <w:t>During the proceedings, the Federal Cartel Office repeatedly exchanged views with the Federal Network Agency.</w:t>
      </w:r>
    </w:p>
    <w:p>
      <w:r>
        <w:t>Regarding DPAG:</w:t>
        <w:br/>
        <w:t>Deutsche Post AG (DPAG), Bonn, is the parent company of the Deutsche Post DHL Group (DPDHL). DPDHL operates in the areas of letter services, postal and parcel services, express delivery, freight services, and logistics. According to its own statements, the group employs approximately 550,000 employees in around 220 countries and generated revenue of approximately €66.8 billion in 2020.</w:t>
      </w:r>
    </w:p>
    <w:p>
      <w:r>
        <w:t>Annex: Binding Declaration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