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http://www.bundeskartellamt.de/SharedDocs/Entscheidung/DE/Entscheidungen/Fusionskontrolle/1999/B9-220-98.pdf;jsessionid=50FE67A5F2ADE9F968314F6ABFEC1798.1_cid362?__blob=publicationFile&amp;v=3</w:t>
      </w:r>
    </w:p>
    <w:p>
      <w:r>
        <w:t>Pages translated : 11</w:t>
      </w:r>
    </w:p>
    <w:p/>
    <w:p>
      <w:r>
        <w:rPr>
          <w:b/>
        </w:rPr>
        <w:t>[Pages 1–3]</w:t>
      </w:r>
    </w:p>
    <w:p>
      <w:r>
        <w:t>Bundeskartellamt Berlin, April 9, 1999</w:t>
        <w:br/>
        <w:t>9. Decision Division</w:t>
        <w:br/>
        <w:t>Decision</w:t>
        <w:br/>
        <w:t>In the administrative procedure B 9 - 63300 - U - 220/98</w:t>
        <w:br/>
        <w:t>1. Hapag Touristik Union GmbH, Hanover</w:t>
        <w:br/>
        <w:t>2. First Reisebüro Management GmbH &amp; Co. KG, Düsseldorf</w:t>
        <w:br/>
        <w:t>- Parties involved -</w:t>
        <w:br/>
        <w:t>Legal representatives:</w:t>
        <w:br/>
        <w:t>Gaedertz Rechtsanwälte</w:t>
        <w:br/>
        <w:t>Fasanenstr. 33</w:t>
        <w:br/>
        <w:t>10719 Berlin</w:t>
        <w:br/>
        <w:t>regarding the examination of a merger proposal, the 9th Decision Division decided on April 9, 1999:</w:t>
        <w:br/>
        <w:t>1. The intended acquisition of all corporate participations in First Reisebüro Management GmbH &amp; Co. KG, Düsseldorf, by Hapag Touristik Union GmbH, Hanover, is approved.</w:t>
        <w:br/>
        <w:t>2. The fee for the notification will be charged separately.</w:t>
      </w:r>
    </w:p>
    <w:p>
      <w:r>
        <w:t>- 2 -</w:t>
        <w:br/>
        <w:t>Reasons</w:t>
        <w:br/>
        <w:t>1. On December 17, 1998, the BKartA received notification of a merger proposal, whereby Hapag Touristik Union GmbH, Hanover (hereinafter: HTU) intends to acquire all corporate participations in First Reisebüro Management GmbH &amp; Co. KG, Düsseldorf (First). An interest in First amounting to 9.4% is also to be acquired, which will first be transferred to the shareholder TIP-Reisen, Hamburg, after it has also contributed its business operations to First.</w:t>
        <w:br/>
        <w:t>2. After reviewing the notification, the BKartA determined that the proposal falls within the scope of the Act Against Restraints of Competition (§ 35 GWB), but does not suggest the creation or strengthening of a dominant market position. By letter dated January 8, 1999, the involved companies were informed that the Federal Cartel Office has entered into the examination of the merger (main examination procedure) (§ 40 para. 1 GWB).</w:t>
        <w:br/>
        <w:t>I.</w:t>
        <w:br/>
        <w:t>The involved companies and the project</w:t>
        <w:br/>
        <w:t>1. HTU is a 100% subsidiary of Hapag Lloyd AG (HL), in which Preussag AG holds a majority stake. It holds the previously acquired majority interest in Touristik Union International GmbH &amp; Co. KG (TUI). The Preussag Group generated a turnover of 35.151 billion DM in the 1997/98 financial year. The largest shareholder, with just over 33%, is Westdeutsche Landesbank Girozentrale, Düsseldorf (West-LB), which also holds a secured majority at Preussag's general meetings.</w:t>
        <w:br/>
        <w:t>HTU's tourism participations (HL and TUI) achieved revenues of 12.9 billion DM in the last completed financial year. The turnover from travel agency services amounted to 4.985 billion DM.</w:t>
        <w:br/>
        <w:t>2. Until December 31, 1997, First consisted of First Reisebüro GmbH &amp; Co. KG (First KG), a holding company, and First Reisebüro Management GmbH (First GmbH). Shareholders included West-LB (via TCT) and 10 other individual shareholders or groups of travel agency owners (mainly BS- &amp; K-Group and the Hartmann Group). Effective January 1, 1998, all shareholders of the First Group contributed their travel agencies as contributions in kind in exchange for shareholder rights into First KG. First Management GmbH was merged into First KG.</w:t>
        <w:br/>
        <w:t>Through this restructuring, which was registered with and approved by the Federal Cartel Office, First increased the number of its own travel agency branches or participations from 71 to approximately 375 offices. Additionally, as a franchisor, First had entered into contracts with 197 further independent travel agencies as of January 1, 1998 (after the restructuring).</w:t>
        <w:br/>
        <w:t>As of January 1, 1999, TIP-Reisen, Hamburg was additionally admitted as a new shareholder (after contributing its travel agencies as contributions in kind). Of the total 572 First distribution points (1997), 459 points were tourism offices and 113 points were corporate services (First Business Travel - cf. FVW Travel Agency Chains and Cooperations, Documentation 1997, pp. 4, 7).</w:t>
        <w:br/>
        <w:t>The turnover generated by the First Group (First-owned offices) after the restructuring in 1998 was 2.349 billion DM; of this, 1.409 billion DM was from private customer business and 943 million DM from corporate customer business. Commission revenues in the corporate business amounted to 109.57 million DM in 1997 (including franchisees).</w:t>
        <w:br/>
        <w:t>The First franchisees generated turnover of 760 million DM in 1998. Of this, 430 million DM was from private customers and 330 million DM from corporate customers. Overall, the turnover generated from travel by the First Group (including both owned offices and franchisees) in 1998 was 3.109 billion DM (of which 1.836 billion DM was in private customer business and 1.273 billion DM in corporate customer business - Annex 5 to the notification).</w:t>
        <w:br/>
        <w:t>II.</w:t>
        <w:br/>
        <w:t>Merger</w:t>
      </w:r>
    </w:p>
    <w:p>
      <w:r>
        <w:rPr>
          <w:b/>
        </w:rPr>
        <w:t>[Pages 4–6]</w:t>
      </w:r>
    </w:p>
    <w:p>
      <w:r>
        <w:t>- 4 -</w:t>
        <w:br/>
        <w:t>HTU intends to acquire all corporate participations in the restructured First Travel Agency Management from its current 16 shareholders and thereby obtain sole control over First (merger pursuant to § 37 para. 1 nos. 2 and 3 GWB). The merger is subject to preventive merger control due to the turnover of the involved companies (§§ 35, 39 GWB).</w:t>
      </w:r>
    </w:p>
    <w:p>
      <w:r>
        <w:t>III.</w:t>
        <w:br/>
        <w:t>Scope of the GWB</w:t>
        <w:br/>
        <w:t xml:space="preserve">The provisions of the European Merger Control Regulation (ECMR) are not applicable to the merger project (§ 35 para. 3 GWB). The turnover relevant for merger control of the parties involved does not meet the necessary turnover thresholds of Art. 1 paras. 2 and 3 ECMR. The turnover achieved in the area of travel agency services is to be considered for this purpose (1997 at First: 109.57 million DM). </w:t>
        <w:br/>
        <w:t>First Reisebüro-Management GmbH &amp; Co. KG generated its commission revenues exclusively within the scope of the GWB.</w:t>
      </w:r>
    </w:p>
    <w:p>
      <w:r>
        <w:t>IV.</w:t>
        <w:br/>
        <w:t>Competitive Assessment</w:t>
        <w:br/>
        <w:t>1. Relevant Product Market</w:t>
        <w:br/>
        <w:t>The project primarily concerns the markets for the brokerage of tourist trips and business trips.</w:t>
        <w:br/>
        <w:t>a) The service of brokering trips for tourist purposes is demanded by package tour operators and offered by travel agencies (individual offices or organized in chains, cooperations, and franchise systems) after concluding an agency agreement with an operator or service provider. This so-called external distribution can be supplemented by package tour operators through sales via their own offices (in-house distribution) or electronic media/print media (direct sales). The demanders of these tourist services are private end consumers.</w:t>
      </w:r>
    </w:p>
    <w:p>
      <w:r>
        <w:t>- 5 -</w:t>
        <w:br/>
        <w:t>b) The service of brokering business trips is demanded by service providers (airlines and hotel companies, transport companies such as railways, car rental companies, etc.) and is also offered by travel agencies in an agency relationship (e.g., IATA, DB license). These services are primarily brokered to business people, companies, and authorities. The service providers also offer flights, hotels, etc., directly to business travelers through other distribution channels.</w:t>
        <w:br/>
        <w:t>c) With the formation of integrated tourism corporations and the expansion of new distribution channels, such as electronic media, the significance of independent travel agents not belonging to an operator or service provider has tended to decrease. Nevertheless, external distribution still represents the most important sales channel for the majority of service providers (operators such as transport companies and hoteliers), which cannot be replaced by other distribution options. Therefore, the offering of travel brokerage by travel agents constitutes a separate relevant product market. Although many travel agencies operate in both the private customer and corporate customer business, the differences between the two types of travel (in terms of target groups, type of travel, and booking processes, as well as different service providers) and the presence of travel agents specialized in business travel justify the separation of the brokerage market into relevant submarkets for tourism business on the one hand and corporate business on the other.</w:t>
      </w:r>
    </w:p>
    <w:p>
      <w:r>
        <w:t>2. Relevant Geographic Market</w:t>
        <w:br/>
        <w:t>a) The leading domestic travel agency companies are nationally present with their partner, franchisee, or chain offices in the brokerage of tourist services. The tour operators also maintain a comprehensive (usually nationwide) agency distribution. However, at the level of travel agencies, there are numerous locally relevant submarkets that are limited to the catchment areas of the respective agencies (approximately 50 km radius around the respective locations).</w:t>
        <w:br/>
        <w:t>b) In the corporate customer business, the service providers also demand brokerage services nationwide. Even if, from the perspective of individual, especially small corporate customers, the market may be geographically limited to the catchment area of their own (company) headquarters, there is a tendency towards nationwide servicing of companies or their branches. Large enterprises are increasingly attempting to arrange for Europe-wide or worldwide servicing of their branches or subsidiaries with travel agents. Therefore, the decision division assumes a nationwide market for corporate customer business. All major providers of brokerage services in the tourism and corporate business have a nationwide presence at a multitude of locations. An examination of all locally relevant submarkets in the tourism and corporate service business is therefore not expected to yield significantly different results than when considering a nationwide market.</w:t>
      </w:r>
    </w:p>
    <w:p>
      <w:r>
        <w:t>3. Market Structures</w:t>
        <w:br/>
        <w:t xml:space="preserve">For the calculation of market shares, the decision division bases its analysis on the brokered revenues. The total market for travel brokerage services was 44 billion DM in 1997 (excluding bus travel). Of this, 32 billion DM (73%) was attributed to the private customer business and 12 billion DM (27%) to the corporate business. The largest revenue contributor in the private customer business was the brokerage of tourist trips (25.5 billion DM = 58%). Scheduled flights were brokered in the amount of 14.1 billion DM (of which approximately 3 billion DM in revenues from the consolidator business, i.e., bookings of scheduled flights by travel agencies without their own IATA license). </w:t>
        <w:br/>
        <w:t>Approximately 2.1 billion DM were generated from the brokerage of train tickets; other travel agency revenues accounted for 2.3 billion DM (FVW Supplement Travel Agencies, 1997, p. 11). The aforementioned revenues were brokered in 1997 by a total of 16,200 travel distribution points, whose number is tending to decrease. 5,300 of these distribution points are classic (main occupation) travel agencies (with at least one transport license: There were 4,591 IATA and 3,813 DB agencies in 1997). 10,900 travel agencies are exclusively active in the tourism business or are merely secondary occupation travel agencies (lottery acceptance points, etc. - ibid).</w:t>
        <w:br/>
        <w:t>a) Market for the brokerage of tourist trips (private customer business)</w:t>
        <w:br/>
        <w:t>In the total market with a volume of 32 billion DM, HTU/First held a share of approximately 12% in 1997 with a brokered revenue of 3.835 billion DM; of this, approximately 4.5% was attributed to brokerage revenues from franchisees (TUI-</w:t>
      </w:r>
    </w:p>
    <w:p>
      <w:r>
        <w:rPr>
          <w:b/>
        </w:rPr>
        <w:t>[Pages 7–9]</w:t>
      </w:r>
    </w:p>
    <w:p>
      <w:r>
        <w:t>- 7 -</w:t>
        <w:br/>
        <w:t>market for the brokerage of tourist trips (private customer business)</w:t>
        <w:br/>
        <w:t>In the overall market with a volume of 32 billion DM, HTU/First held a share of about 12% in 1997 with a mediated turnover of 3.835 billion DM; of this, about 4.5% was attributable to brokerage revenues from franchisees (TUI vacation centers or First franchisees - after the restructuring). The main competitors were the travel agents classified as part of the so-called yellow camp: Lufthansa City Center, Karstadt, Holiday Land, NUR, and Alpha offices, NVAG, and Schickedanz/Quelle. These travel agents together accounted for a share of 12.7% of the total brokerage turnover; of this, 6.8% was attributable to franchisees (LCC and Holiday Land - figures for the yellow camp taken from the FVW supplement Travel Agencies 1997).</w:t>
      </w:r>
    </w:p>
    <w:p>
      <w:r>
        <w:t>b) Market for the brokerage of business trips (corporate customer business)</w:t>
        <w:br/>
        <w:t>The market volume estimated by FVW and considered realistic at 12 billion DM was primarily brokered by the companies or cooperation/franchise organizations listed in the attached table. After the merger, the parties hold a market share of 29.1%, leading ahead of the next competitor, the DER Group (DER-oHG and DERPART cooperation), by about one and a half times. Other revenue-strong providers in the corporate service business are BTI-EuroLloyd and the LCC Lufthansa City Center. The latter is a relatively centrally managed franchise organization (cf. FVW supplement Travel Agencies 1997, p. 7). HTU/First will become the leading broker of business trips through the merger. The parties increase the number of their sales outlets operating in the corporate service sector (including implants) from 83 to 181 as a result of the merger. In contrast, competitors BTI-EuroLloyd and DER oHG (excluding DERPART) have 130 and 87 sales outlets, respectively. To service large customers with a Europe-wide or worldwide presence, most travel agents have joined international cooperation networks. A Dutch subsidiary of TUI is a member of BTI Business Travel International, which also includes Kuoni as a partner (mediated revenues in 1997: 22 billion US dollars, 55 partners worldwide). First is a partner of First Travel Management International, Düsseldorf (8 billion $ brokerage turnover, of which 5.6 billion $ in corporate service, over 2000 sales outlets worldwide). The DER oHG is a partner in Internet Worldwide Business Travel Management, Amsterdam (21 billion $ brokerage revenues, over 1000 sales outlets worldwide), and the DERPART cooperation is a member of Synergi Global Travel, New York (8 billion $ brokerage revenues). LCC is a licensee of Woodside Travel Trust AG, Bethesda/USA (19.3 billion $ brokerage revenues, of which 15.6 billion $ in corporate service, 5,131 sales outlets worldwide). In the international corporate service business, the leading providers are American Express (10.4 billion $ total turnover, over 1000 sales outlets) and Carlson-Wagonlit (9.6 billion $ turnover, over 2000 sales outlets - cf. FVW supplement Travel Agencies 1997). Corporate law entanglements between leading providers exist through the 25% participation of DB/DER in TUI, in which HTU holds the majority. This minority stake grants DB/DER participation rights in fundamental business decisions (change of legal form or articles of association, limited partnership contributions, as well as the establishment of companies or acquisition or disposal of interests). The Preussag shareholder West-LB owns all shares in The Thomas Cook Group Ltd. (turnover 1996: 500 million US dollars) and has established a joint venture with Preussag and Carlson Leisure Group Ltd., UK, into which the tourism business (leisure sector) of Thomas Cook UK and Carlson Leisure Group Ltd. (UK) has been contributed (Commission decision of March 8, 1999, case no. IV/M. 1341).</w:t>
      </w:r>
    </w:p>
    <w:p>
      <w:r>
        <w:t>4. Competitive Assessment</w:t>
        <w:br/>
        <w:t>The notified merger does not suggest the emergence of a dominant market position within the meaning of § 19 GWB by HTU/First in the brokerage markets for holiday or business trips.</w:t>
      </w:r>
    </w:p>
    <w:p>
      <w:r>
        <w:t>a) Market for corporate customers</w:t>
        <w:br/>
        <w:t>aa) The share of HTU in the total mediated corporate travel volume of 12 billion DM in 1997 increases from 17.2% to 29.1% through the acquisition of First. Thus, HTU does not meet the presumption of market dominance under § 19 para. 3 sentence 1 GWB. However, after the merger, it holds a market share approximately one and a half times higher than that of the next competitor, the DER Group. It can be assumed that DER and the cooperation partners of DERPART form a competitive unit due to the existing corporate law entanglements with the cooperation center and the commitments made within the framework of the cooperation. The DER Group is also able to sufficiently control the competitive behavior of HTU/First despite significantly lower market shares. It has at its disposal, in addition to the business resources of Deutsche Bahn AG, an important service provider for corporate travel, a nationwide distribution network as well as international connections (via Internet Worldwide Business Travel or Synergi Global Travel). However, DB/DER and HTU are currently considered to be merged in the market for package flights due to their participation in TUI (§ 39 para. 1 sentence 3 GWB). The position of DB/DER as a minority shareholder of TUI also carries the risk that competition between HTU and the DER Group in the corporate service business will be impaired (group effect). Based on the documents available to the decision division, it is expected that this cross-linking, which is seen as an obstacle to effective competition between HTU/First and DER, will soon cease to exist. For the same reasons, the Dutch subsidiary of TUI will withdraw from the travel agency cooperation BTI. Thus, in the future, an unadulterated competition between HTU/First and the BTI partner Kuoni (BTI-EuroLloyd) can also be expected.</w:t>
      </w:r>
    </w:p>
    <w:p>
      <w:r>
        <w:t>bb) The competitive scope of the parties is effectively limited not only by the DER Group but also by other providers. Although competitors American Express and Carlson-Wagonlit hold significantly lower market shares domestically than HTU/First, they represent the leading providers in the business travel market with total revenues of 10.4 billion $ and 9.6 billion $, respectively, worldwide. These travel agents enter into global framework agreements with large customers in addition to national agreements and are able to ensure the servicing of such customers through a worldwide network of their own sales outlets.</w:t>
      </w:r>
    </w:p>
    <w:p>
      <w:r>
        <w:t>cc) After the merger, HTU/First will have the largest number of company-owned sales outlets for the brokerage of business trips. The</w:t>
      </w:r>
    </w:p>
    <w:p>
      <w:r>
        <w:rPr>
          <w:b/>
        </w:rPr>
        <w:t>[Pages 10–11]</w:t>
      </w:r>
    </w:p>
    <w:p>
      <w:r>
        <w:t>- 10 -</w:t>
        <w:br/>
        <w:t>The ownership of its own sales outlets does not provide HTU/First with any particular advantages in accessing corporate clients. Service providers such as airlines, railways, and hoteliers enter into agency agreements with travel agents regardless of whether the engaged sales outlets are affiliated with the group or not. To the extent that better conditions can be achieved as a result of a larger volume of mediation, this is also possible for the cooperation and franchise systems competing with HTU/First through central negotiation of the conditions. BTI/Euro Lloyd, Carlson/Wagon-Lit, and American Express have a lower market penetration with 172, 91, and 85 sales outlets, respectively. However, the lead in domestic sales outlets does not provide the parties involved with advantages in the rapidly growing segment of large clients requiring international servicing. In this area, their competitors Amexco and Carlson-Wagon-Lit are leading in terms of revenue. Providers such as the DER Group, LCC, and BTI-EuroLloyd operate in this market through internationally active cooperations. HTU also gains access to such a cooperation (First Travel Management International) through the merger with First.</w:t>
      </w:r>
    </w:p>
    <w:p>
      <w:r>
        <w:t>dd) Further control of the competitive behavior of HTU/First is to be expected as a result of the strong position of the service providers. In particular, airlines have formed alliances, negotiate uniformly regarding the conditions for travel agents, and attempt to reduce their distribution costs through commission cuts and the expansion of direct sales and electronic ticketing. Strong market service providers are also free to restructure their distribution systems accordingly. This also limits the maneuvering room of the parties involved in competition.</w:t>
      </w:r>
    </w:p>
    <w:p>
      <w:r>
        <w:t>b) Effects of the merger on other markets</w:t>
        <w:br/>
        <w:t>In the market for the mediation of tourist trips, the emergence or strengthening of a dominant market position is also not to be expected due to the relatively low market share, the strength, and the multitude of competitors. HTU/First (including TUI-Urlaubscenter) will achieve a market share of 12% after the merger, of which 4.5% is through franchisees of First and TUI-Urlaubscenter, while the yellow camp already holds a market share of a similar magnitude. Five other providers hold market shares between 5% and 8.5%. The acquisition of First by HTU does not ultimately improve TUI's distribution opportunities to such an extent that the leading position in individual submarkets for package flights would be expanded beyond the threshold of market dominance.</w:t>
      </w:r>
    </w:p>
    <w:p>
      <w:r>
        <w:t>6. Summary</w:t>
        <w:br/>
        <w:t>For the aforementioned reasons, the Federal Cartel Office has decided not to prohibit the notified merger project. This decision is issued pursuant to § 40 para. 2 sentence 1 GWB.</w:t>
      </w:r>
    </w:p>
    <w:p>
      <w:r>
        <w:t>7. Notice of Legal Remedies</w:t>
        <w:br/>
        <w:t>An appeal against this decision is permissible. It must be submitted in writing within a period of one month starting from the delivery of the decision to the Federal Cartel Office, Mehringdamm 129, 10965 Berlin. However, it is sufficient if it is received within this period by the appellate court, the Kammergericht in Berlin. The appeal must be substantiated. The deadline for the appeal's justification is one month. It begins with the filing of the appeal and can be extended upon request by the presiding judge of the appellate court. The appeal justification must contain a statement regarding the extent to which the decision is contested and the modification or annulment is requested, and must specify the facts and evidence on which the appeal is based. The appeal and the appeal justification must be signed by a lawyer admitted to a German court.</w:t>
      </w:r>
    </w:p>
    <w:p>
      <w:r>
        <w:t>Dr. Ruppelt Fink Wagner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