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http://www.bundeskartellamt.de/SharedDocs/Entscheidung/DE/Entscheidungen/Fusionskontrolle/1999/B9-243-98.pdf;jsessionid=50FE67A5F2ADE9F968314F6ABFEC1798.1_cid362?__blob=publicationFile&amp;v=3</w:t>
      </w:r>
    </w:p>
    <w:p>
      <w:r>
        <w:t>Pages translated : 7</w:t>
      </w:r>
    </w:p>
    <w:p/>
    <w:p>
      <w:r>
        <w:rPr>
          <w:b/>
        </w:rPr>
        <w:t>[Pages 1–3]</w:t>
      </w:r>
    </w:p>
    <w:p>
      <w:r>
        <w:t xml:space="preserve">Bundeskartellamt  </w:t>
        <w:br/>
        <w:t xml:space="preserve">9. Decision Division  </w:t>
        <w:br/>
        <w:t xml:space="preserve">B 9 - 52111 - U - 243/98 FOR PUBLICATION  </w:t>
        <w:br/>
        <w:t xml:space="preserve">Decision  </w:t>
        <w:br/>
        <w:t xml:space="preserve">In the administrative procedure  </w:t>
        <w:br/>
        <w:t xml:space="preserve">1. Edeka Minden-Hannover Holding GmbH, Minden  </w:t>
        <w:br/>
        <w:t xml:space="preserve">2. Karl Preuß GmbH &amp; Co, Minden  </w:t>
        <w:br/>
        <w:t xml:space="preserve">3. Preuß Beteiligungs- und Vermögensverwaltungs-GmbH, Minden  </w:t>
        <w:br/>
        <w:t xml:space="preserve">Participants -  </w:t>
        <w:br/>
        <w:t xml:space="preserve">regarding a merger project  </w:t>
        <w:br/>
        <w:t xml:space="preserve">the 9th Decision Division of the Bundeskartellamt decided on  </w:t>
        <w:br/>
        <w:t xml:space="preserve">March 15, 1999:  </w:t>
        <w:br/>
        <w:t xml:space="preserve">1. The notified acquisition of 25% of the limited partnership capital in Karl Preuß GmbH &amp; Co as well as 25% of the capital in Preuß Beteiligungs- und Vermögensverwaltungs-GmbH is approved.  </w:t>
        <w:br/>
        <w:t xml:space="preserve">2. The fee for the notification is set at  </w:t>
        <w:br/>
        <w:t xml:space="preserve">DM  </w:t>
        <w:br/>
        <w:t xml:space="preserve">(in words: Deutsche Mark)  </w:t>
        <w:br/>
        <w:t xml:space="preserve">(informatively: Euro)  </w:t>
        <w:br/>
        <w:t>and imposed on participant 1.</w:t>
      </w:r>
    </w:p>
    <w:p>
      <w:r>
        <w:t xml:space="preserve">- 2 -  </w:t>
        <w:br/>
        <w:t xml:space="preserve">Reasons  </w:t>
        <w:br/>
        <w:t xml:space="preserve">A.  </w:t>
        <w:br/>
        <w:t xml:space="preserve">1. By letter dated December 28, 1998, received here on December 29, 1998, Edeka Minden-Hannover Holding GmbH (formerly: Edeka Handelsgesellschaft Minden-Hannover mbH) notified the project pursuant to § 24 a GWB old version, to acquire 25% of the limited partnership capital in Karl Preuß GmbH &amp; Co based in Minden. At the same time, the acquirer also intends to take over 25% of the shares in the general partner Preuß Beteiligungs- und Vermögensverwaltung GmbH. The shareholders belonging to the Preuß family will remain involved in these companies with 75% of the shares, among them, the graduate businessman Karl-Heinz Preuß will retain a capital share of over 50%.  </w:t>
        <w:br/>
        <w:t xml:space="preserve">2. The decision division communicated by letter dated January 26, 1999, that it is entering into the examination of the merger project (§ 24a Abs. 2 Satz 1 GWB old version), so that the examination period ends on April 28, 1999.  </w:t>
        <w:br/>
        <w:t xml:space="preserve">3. The jurisdiction of the Bundeskartellamt for the merger control arises from the fact that there is no merger of Community-wide significance, as both participating companies generate more than two-thirds of their Community-wide turnover in Germany.  </w:t>
        <w:br/>
        <w:t xml:space="preserve">4. The merger project is subject to notification under § 39 GWB, as a merger exists under § 37 Abs. 1 Nr. 3b and under § 37 Abs. 1 Nr. 3 Satz 3 (joint venture) GWB. The participating companies exceed the turnover thresholds of § 35 Abs. 1 GWB and markets with an annual turnover volume of more than 30 million DM are affected (§ 35 Abs. 2 Satz 1 Nr. 2 GWB).  </w:t>
        <w:br/>
        <w:t xml:space="preserve">B.  </w:t>
        <w:br/>
        <w:t xml:space="preserve">1. Edeka Minden-Hannover Holding GmbH (Holding) is one of 13 regionally active Edeka companies, in which the regional cooperative of independent Edeka retailers (Edeka Minden-Hannover e.G.) and Edeka Zentrale Handelsgesellschaft mbH in Hamburg each hold 50%. The Holding is jointly controlled by these two companies. Dependent on the Holding are the retail companies Edeka Markt Minden-Hannover GmbH (operating mainly in Lower Saxony and Saxony-Anhalt), V-Markt Wilh. Klages GmbH &amp; Co KG (markets in Lower Saxony and Saxony-Anhalt), Super 2000 Brandenburg Warenvertriebsgesellschaft mbH (markets in Brandenburg) and Otto Reichelt AG (markets in Berlin), as well as Edeka Minden-Hannover Handelsgesellschaft mbH (delivery wholesale), MIOS Großhandel GmbH (C+C cash and carry wholesale), and companies that produce meat/sausage products and baked goods. The companies belonging to Edeka Minden-Hannover Holding GmbH achieved a total turnover of ..... billion DM in 1997 (including the Klages markets acquired in 1998) and a retail turnover of .... billion DM. The entire Edeka group reported a retail turnover of .... billion DM for 1997.  </w:t>
        <w:br/>
        <w:t xml:space="preserve">2. Karl Preuß GmbH &amp; Co is a family business that operates 24 grocery stores in a narrower area from Osnabrück to Stadthagen. The company achieved a turnover of .... million DM in 1997, of which in food retailing .... million DM.  </w:t>
        <w:br/>
        <w:t xml:space="preserve">C.  </w:t>
        <w:br/>
        <w:t xml:space="preserve">The notified merger project was not to be prohibited, as the prohibition requirements of § 36 Abs. 1 GWB do not exist in any of the markets affected by the merger.  </w:t>
        <w:br/>
        <w:t>1. The companies involved in the merger (participants 1 and 2) are active in the retail trade of food, with participant 2 also engaged in wholesale food trade. Participant 3 is the general partner and managing director of participant 2. Overlaps in the business activities of participants 1 and 2 therefore exist exclusively in the food retail sector in three regional markets. The food assortments of the retail trade examined here consist of the traditional assortments carried in food retail: delicatessen, side dishes, dry goods/cereals, ready meals, sweet spreads, eggs, canned goods, confectionery, frozen foods/ice cream, dietary foods/reform goods, tobacco products, as well as fresh areas of milk/dairy products, meat and sausage products, baked goods, fruits and vegetables, and fish. In addition, alcoholic and non-alcoholic beverages. The non-food assortment typically associated with food (especially cosmetics, drugstore items, haberdashery, and other complementary assortments including special promotions with household electrical goods and...</w:t>
      </w:r>
    </w:p>
    <w:p>
      <w:r>
        <w:rPr>
          <w:b/>
        </w:rPr>
        <w:t>[Pages 4–6]</w:t>
      </w:r>
    </w:p>
    <w:p>
      <w:r>
        <w:t>- 4 -</w:t>
        <w:br/>
        <w:t>Consumer electronics and similar items were not considered here, as their shares in the different forms of distribution lines to be considered here varied significantly. A per capita consumption value of DM 3,400 is used, which was taken from the BBE Information Service 1998. This value is below the per capita consumption in North Rhine-Westphalia and slightly above the value for Lower Saxony.</w:t>
      </w:r>
    </w:p>
    <w:p>
      <w:r>
        <w:t>2. According to the consistent practice of the decision-making department, regional food markets are described by a radius of 20 minutes by car (or a 20 - 25 km radius) around the locations of sales outlets that overlap due to the merger. In cases of multiple or extensive overlaps, corresponding radii are applied so that the outer boundary of this (larger) area forms the relevant market space. The Preuß markets to be acquired are located exclusively in the area surrounding Osnabrück to the surrounding area of Stadthagen and are to be divided into three regional areas: Market area Osnabrück, Market area Melle/Sternwede/Bünde/Lübbecke, and Market area Minden/Stadthagen. In these markets, the parties involved in the merger hold the following market positions: .......</w:t>
      </w:r>
    </w:p>
    <w:p>
      <w:r>
        <w:t>These figures are based on information provided by the parties, which were cross-checked with data that the decision-making department had collected during the merger control examination of the merger projects Metro/Allkauf and Schickedanz/Karstadt in 1998. From the information that the decision-making department has determined in the context of the aforementioned procedures, the following market structures emerge for the above-mentioned market areas: Edeka with Preuß:.... (Osnabrück),.... (Melle), .... (Minden) Aldi in the 3 market areas Metro in the 3 market areas Rewe in the 3 market areas Lidl in the 3 market areas Ratio-Handel in 2 market areas</w:t>
      </w:r>
    </w:p>
    <w:p>
      <w:r>
        <w:t>- 5 -</w:t>
        <w:br/>
        <w:t>Klaas + Kock in 2 market areas Tengelmann in 2 market areas Although Edeka's market position in these markets is to be assessed as superior to all competitors - particularly, in the Minden market, such a market position is only established through the merger (....), Edeka will not possess a market position after the merger that would grant it a degree of freedom from competition that is unregulated. This also applies when considering that Edeka's wholesale food trade, which supplies both independent Edeka retailers and completely independent retailers, has significant market positions in these market areas (.....).</w:t>
      </w:r>
    </w:p>
    <w:p>
      <w:r>
        <w:t>In forecasting the future for the Minden market, it was also to be considered that Preuß markets...... will be closed. While in the Minden market area, Edeka only achieves a comparatively strong market position through this merger, this company already had significant market positions in the two other markets Osnabrück and Melle/Sternwede/Bünde/Lübbecke prior to the merger, which could not be significantly expanded through this process. However, the emergence of dominant market positions in the affected regional markets was not evident.</w:t>
      </w:r>
    </w:p>
    <w:p>
      <w:r>
        <w:t>D. The notification of the merger project pursuant to § 24a GWB old version is subject to fees according to § 80 Abs. 1 Nr. 1 GWB. The antitrust authority may charge fees of up to 100,000 DM (§ 80 Abs. 2 Sentence 2 Nr. 1 GWB) in cases of particularly significant economic importance and exceptionally high administrative effort up to 200,000 DM (§ 80 Abs. 2 Sentence 3 GWB). The amount of the fee is determined by the personnel and material effort of the antitrust authority, taking into account the economic significance of the subject of the fee-based action. Among the mentioned criteria, the economic significance carries greater weight. It fundamentally arises from the amount of domestic sales of the participating companies in the markets affected by the merger, the expected economic benefits of future cooperation in the domestic markets, and the economic interest of the companies involved in the merger in the antitrust authority's decision arising from the proximity of the merger to the prohibition area of § 36 GWB (WuW/E OLG 2106 - "Road Construction Equipment").</w:t>
      </w:r>
    </w:p>
    <w:p>
      <w:r>
        <w:t>If the economic significance determined according to these criteria corresponds to the average, a medium fee is generally appropriate (WuW/E OLG 4366 - "Spar" with references). This currently amounts to 50,000 DM according to the applicable fee framework. The economic significance in the present case is to be assigned an average weight. The personnel and material effort of the antitrust authority was also average. A fee of a total of ... DM is therefore appropriate and justified.</w:t>
      </w:r>
    </w:p>
    <w:p>
      <w:r>
        <w:t>The fee debtors are the companies that have submitted a notification according to § 80 Abs. 6 Sentence 1 Nr. 1 GWB. They are liable as joint debtors according to § 80 Abs. 6 Sentence 3 GWB. The fee is to be paid within one month after delivery of this decision, indicating the above file number and date of the decision to the account of the Federal Treasury Berlin Account No. 100 010 18 at the State Central Bank in Berlin and Brandenburg, 10625 Berlin (Bank code 100 000 00).</w:t>
      </w:r>
    </w:p>
    <w:p>
      <w:r>
        <w:t>Legal remedy notice Against this decision, an appeal is permissible. It must be submitted in writing within a period of one month starting from the delivery of the decision to the Bundeskartellamt, Mehringdamm 129, 10965 Berlin. However, it is sufficient if it is received within this period at the appeal report, the Kammergericht in Berlin. The appeal must be substantiated. The deadline for substantiating the appeal is one month. It begins with the filing of the appeal and can be extended upon request by the presiding judge of the appeal court. The appeal substantiation must contain the statement of how far the decision...</w:t>
      </w:r>
    </w:p>
    <w:p>
      <w:r>
        <w:rPr>
          <w:b/>
        </w:rPr>
        <w:t>[Pages 7–7]</w:t>
      </w:r>
    </w:p>
    <w:p>
      <w:r>
        <w:t>- 7 -</w:t>
        <w:br/>
        <w:t xml:space="preserve">being contested and the modification or annulment is requested, to specify the facts and evidence on which the appeal is based. The appeal and the grounds for the appeal must be signed by a lawyer admitted to practice before a German court.  </w:t>
        <w:br/>
        <w:t>Dr. Ruppelt Fink Winter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