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https://www.bundeskartellamt.de/SharedDocs/Entscheidung/DE/Fallberichte/Fusionskontrolle/2018/B9-25-18.pdf?__blob=publicationFile&amp;v=2</w:t>
      </w:r>
    </w:p>
    <w:p>
      <w:r>
        <w:t>Pages translated : 7</w:t>
      </w:r>
    </w:p>
    <w:p/>
    <w:p>
      <w:r>
        <w:rPr>
          <w:b/>
        </w:rPr>
        <w:t>[Pages 1–3]</w:t>
      </w:r>
    </w:p>
    <w:p>
      <w:r>
        <w:t>Case Report July 6, 2018</w:t>
        <w:br/>
        <w:t>Withdrawal of the Notification in the Case of the Acquisition of Brink International B.V., Netherlands, by Horizon Global Corporation, USA</w:t>
        <w:br/>
        <w:t>Industry: Automotive Parts</w:t>
        <w:br/>
        <w:t>File Number: B9 – 25/18</w:t>
        <w:br/>
        <w:t>Date of Decision: June 18, 2018 (Withdrawal of the Notification)</w:t>
        <w:br/>
        <w:t>Summary and Procedural History</w:t>
        <w:br/>
        <w:t>The Federal Cartel Office has thoroughly examined the planned acquisition of Brink International B.V., Netherlands (Brink) by Horizon Global Corporation, USA (Horizon) in the main review procedure. The merger was notified to the Federal Cartel Office on January 8, 2018. It was also reviewed in parallel by the British Competition Authority, the Competition and Markets Authority (CMA).</w:t>
      </w:r>
    </w:p>
    <w:p>
      <w:r>
        <w:t>In the course of its investigations, the Federal Cartel Office concluded that the project would have led to a significant impediment to effective competition. This concerns, on the one hand, the market for the manufacture and distribution of towbars for passenger cars and light commercial vehicles to car manufacturers, which encompasses the European Economic Area (EEA), and on the other hand, the nationwide market in Germany for the manufacture and distribution of these towbars to wholesalers and workshop chains. By way of a warning letter dated May 17, 2018, the Federal Cartel Office presented its competitive concerns to the parties involved and indicated its intention to prohibit the merger.</w:t>
      </w:r>
    </w:p>
    <w:p>
      <w:r>
        <w:t>The parties to the proceedings opposed the preliminary opinion of the Federal Cartel Office with their statement dated June 12, 2018. In a communication dated June 18, 2018, the parties to the proceedings announced the withdrawal of the notification. The parties have abandoned the merger project.</w:t>
      </w:r>
    </w:p>
    <w:p>
      <w:r>
        <w:t>Throughout the entire duration of the proceedings, the Federal Cartel Office maintained close professional communication with the British Competition Authority, the Competition and Markets Authority (“CMA”), which also expressed significant competitive concerns regarding the merger project.</w:t>
      </w:r>
    </w:p>
    <w:p>
      <w:r>
        <w:t>The Parties</w:t>
        <w:br/>
        <w:t>Horizon is an American manufacturer of towbars for passenger cars and light commercial vehicles, as well as bicycle carriers and roof racks. In Europe, the company operates primarily through its subsidiary Westfalia-Automotive GmbH (hereinafter: Horizon/Westfalia). Brink is also a manufacturer of towbars for passenger cars and light commercial vehicles and additionally sells roof racks and bicycle carriers to a limited extent.</w:t>
      </w:r>
    </w:p>
    <w:p>
      <w:r>
        <w:t>While the merger would have had very limited competitive effects in the area of roof racks and bicycle carriers, competitive issues arose in the area of towbars (hereinafter also abbreviated as “AHK”).</w:t>
      </w:r>
    </w:p>
    <w:p>
      <w:r>
        <w:t>Affected Products and Market Definition</w:t>
        <w:br/>
        <w:t>Towbars are mounted on vehicles and serve, among other things, to attach a vehicle or a carrier – such as a trailer or a bicycle carrier – to the towing vehicle. They consist of a metal cross member and side members that are directly installed with screws at the rear of the vehicle. The bracket for the ball bar is attached to the cross member. Towbars can essentially be divided into three different types depending on their design: rigid towbars, detachable towbars, and swiveling towbars.</w:t>
      </w:r>
    </w:p>
    <w:p>
      <w:r>
        <w:t>In the case of a rigid towbar, the ball bar is permanently welded to the cross member and cannot be removed. Detachable towbars, on the other hand, can be attached and also deinstalled as needed. Here, it is not the entire towbar along with the cross member that is removable, but only the ball bar (so-called “detachable system”). This detachable system is also sold separately by the parties involved in the merger through their subsidiaries ACS (Brink) and Terwa (Horizon) to their competitors; ACS generates significant revenues from this.</w:t>
      </w:r>
    </w:p>
    <w:p>
      <w:r>
        <w:t>Swiveling towbars can be swung to the rear and are thus no longer visible at the rear of the vehicle. Again, it is not the entire towbar that is swiveling, but only the ball bar (so-called “swiveling system”).</w:t>
      </w:r>
    </w:p>
    <w:p>
      <w:r>
        <w:t>According to the investigations of the Federal Cartel Office, differentiating the market by type of towbar (rigid, detachable, and swiveling) is not appropriate. The decisive factor here is that all types of towbars meet the same demand from the perspective of consumers – the attachment of a device for securing a trailer. Moreover, the main manufacturers predominantly produce all types of towbars. Any production focuses among the parties involved in the merger and the competitors regarding the individual types of towbars were considered in the competitive assessment.</w:t>
      </w:r>
    </w:p>
    <w:p>
      <w:r>
        <w:t>The Federal Cartel Office also concluded that the so-called electrical kits, which ensure the power supply of the coupled vehicle or carrier (e.g., rear lights, turn signals), are not part of the relevant market. The reason for this is primarily that there are different manufacturers of electrical kits on the one hand and of towbars on the other. Additionally, electrical kits and towbars are often demanded separately.</w:t>
      </w:r>
    </w:p>
    <w:p>
      <w:r>
        <w:t>In contrast, the Federal Cartel Office has differentiated in terms of substance – as is customary in its constant practice with other automotive parts – based on the type of distribution channel. On the one hand, the Federal Cartel Office has established a market for the manufacture and distribution of towbars to car manufacturers (so-called Original Equipment Manufacturer/Original Equipment Supplier market; hereinafter: “OEM/OES market”). In the OEM/OES market, the towbar manufacturers sell original parts both for the so-called original equipment to car manufacturers (i.e., in the context of the series production of the vehicle) and for retrofitting to the respective authorized workshops or to the manufacturer's own distribution organizations.</w:t>
      </w:r>
    </w:p>
    <w:p>
      <w:r>
        <w:t>This market is characterized by close cooperation between the manufacturers of towbars and car manufacturers, where the towbars are adapted to the vehicle in terms of technology and design. Contracts between towbar manufacturers and car manufacturers are concluded on the basis of tenders and have a contractual term extending over several years, which is usually aligned with the product life cycle of the vehicle. To supply car manufacturers, towbar manufacturers must meet their quality requirements. Car manufacturers occasionally check with so-called potential analyses whether a towbar manufacturer is suitable as a supplier both economically and technologically.</w:t>
      </w:r>
    </w:p>
    <w:p>
      <w:r>
        <w:t>On the other hand, the Federal Cartel Office has delineated the so-called Independent After Market (IAM) in terms of substance. Demanders in this market are independent parts dealers and...</w:t>
      </w:r>
    </w:p>
    <w:p>
      <w:r>
        <w:rPr>
          <w:b/>
        </w:rPr>
        <w:t>[Pages 4–6]</w:t>
      </w:r>
    </w:p>
    <w:p>
      <w:r>
        <w:t>Workshop chains, which in turn supply independent workshops and end consumers. Contracts between the towbar manufacturers and market participants in the IAM are generally concluded for a duration of one to two years and do not include specific quantities. In the IAM, the towbar manufacturers primarily distribute replica products. In terms of geography, the Federal Cartel Office has assumed an EEA-wide market for the OEM/OES market, as car manufacturers for their production sites in the EEA almost exclusively source towbars from manufacturers within the EEA. Additionally, there are fundamental product differences, for example, between towbars manufactured for the US market and those for the European market. For the IAM, the Federal Cartel Office has identified a nationwide market in Germany. The reason for this is, among other things, that distribution on the part of the buyers is organized nationally.</w:t>
      </w:r>
    </w:p>
    <w:p>
      <w:r>
        <w:t>Course of Investigations and Assessment of the OEM/OES Market</w:t>
        <w:br/>
        <w:t>In the course of its investigations, the Federal Cartel Office questioned all car manufacturers and towbar manufacturers, as well as numerous parts dealers and workshop chains, in writing and additionally in oral form. According to the preliminary assessment of the Federal Cartel Office, the project would have led to a significant increase in the already high concentration level in the EEA-wide OEM/OES market for towbars for passenger cars and light commercial vehicles. The company Horizon/Westfalia is already the market leader with a market share of 40 to 45 percent. The merger would eliminate Brink, the third-largest competitor with a market share of 15 to 20 percent; after the merger, the combined company would have achieved a market share of 55 to 60 percent. The only significant competitor remaining would be Bosal Automotive Carrier and Protection Systems GmbH, Marktgröningen ("Bosal"), with a market share of 35 to 40 percent in the market. Thus, after the merger, more than 90 percent of the market would be accounted for by two competitors. The other manufacturers – the Czech company Prof Svar, the German metal processing company mbH (MVG), and the Spanish companies Aragon Automotive and Hermanos Sanchez Lafuente S.A. – have market shares that are significantly below 5 percent in comparison.</w:t>
      </w:r>
    </w:p>
    <w:p>
      <w:r>
        <w:t>Furthermore, the analysis based on the tenders and the information from car and towbar manufacturers indicated that competition in the OEM/OES market essentially takes place among the three established providers Horizon/Westfalia, Brink, and Bosal. Indicators for this were the results of a bidder analysis based on the tenders of car manufacturers, the evaluation of towbar manufacturers by car manufacturers, and the analysis of the preferred suppliers of car manufacturers. According to the investigations of the Federal Cartel Office, the parties involved in the merger also have a significant technological advantage over their smaller competitors, particularly regarding swiveling towbars. Additionally, the parties involved in the merger had very high production capacities compared to the smaller competitors.</w:t>
      </w:r>
    </w:p>
    <w:p>
      <w:r>
        <w:t>According to the investigations of the Federal Cartel Office, there is also no sufficient buyer power on the part of car manufacturers that could limit the behavioral scope of only two remaining suppliers in the future. Even at this point in time, sufficient countervailing buyer power appears at least questionable. While there are some large buyers who demand significant quantities, making short-term compensation for a loss of orders for the towbar manufacturers may be difficult, there are essentially only two relevant alternative suppliers available today. Any threats from a large car manufacturer to a supplier to switch to other suppliers therefore appear to be only limitedly credible. Smaller buyers already lack the threat potential due to their easily replaceable quantities. The investigations also showed that occasional price reductions after the conclusion of contracts often did not occur due to buyer power, but for other reasons (e.g., changes in the originally agreed delivery volume). In-house production of towbars by car manufacturers is, according to the findings of the Federal Cartel Office, not a viable alternative due to the lack of technological and economic prerequisites.</w:t>
      </w:r>
    </w:p>
    <w:p>
      <w:r>
        <w:t>Even if there may still be sufficient countervailing buyer power in the current market constellation, this would be highly questionable after the merger with only two relevant competitors remaining. The Federal Cartel Office also conducted extensive investigations into whether the behavioral scope of the merging companies could be sufficiently limited in the future by potential competitors. According to the applicants, potential competitors included towbar manufacturers that have so far only been active in the IAM, as well as towbar manufacturers outside Europe and manufacturers of other car parts. Here, it became evident that the barriers to market entry are very high. Entering the market requires significant lead time and high investment costs until entering series production. Additionally, towbar manufacturers regularly depend on a car manufacturer as a strategic partner. Furthermore, the three providers Westfalia, Brink, and Bosal hold relevant patents that make market entry, at least in the area of swiveling towbars, more difficult. Moreover, there were no sufficient indications for market entry by a potential competitor during the forecast period. On the contrary: a failed market entry attempt by one of the largest automotive suppliers in the recent past rather indicated that market entry or a permanent presence in the market is extremely difficult.</w:t>
      </w:r>
    </w:p>
    <w:p>
      <w:r>
        <w:t>The OEM/OES market is also not a dynamically growing market. Only moderate growth rates are to be expected, which can be attributed to a change in leisure behavior (increased use of trailers and bicycle rear carriers). With Brink, a competitor would also be eliminated, which some car manufacturers had just begun to establish as an alternative to Horizon/Westfalia and Bosal, and which therefore appears suitable from the perspective of the Federal Cartel Office to promote more competition in the OEM/OES market for towbars.</w:t>
      </w:r>
    </w:p>
    <w:p>
      <w:r>
        <w:t>The Federal Cartel Office also investigated to what extent, based on the currently existing order situation, it can be assumed that the other companies active in the market will play a more significant role in the future. However, the investigation results indicate that there will not be any market share increases during the forecast period that would be suitable to dispel the competitive concerns.</w:t>
      </w:r>
    </w:p>
    <w:p>
      <w:r>
        <w:t>Assessment of the IAM</w:t>
        <w:br/>
        <w:t>According to the investigations of the Federal Cartel Office, a significant hindrance to essential competition would also have been expected from the merger in the nationwide IAM. The company Horizon/Westfalia is already the market leader in the IAM with a market share of 40 to 45 percent. The merger would eliminate Brink, the third-largest competitor with a market share of 10 to 15 percent; after the merger, the combined company would have achieved a market share of 55 to 60 percent. Only Bosal would remain as a significant competitor with a market share of 15 to 20 percent in the market. While there is still a competitor with relevant market shares of 10 to 15 percent, the Polish manufacturer Auto-Hak, these shares result almost exclusively from supplying the main buyer in Germany. The company is largely unknown to the other surveyed buyers. The other towbar manufacturers – alongside the companies MVG and Lafuente, which are also active in the OEM/OES market, smaller manufacturers from Poland, Belgium, Italy, and the United Kingdom – have market shares that are largely insignificant, often well below 5 percent.</w:t>
      </w:r>
    </w:p>
    <w:p>
      <w:r>
        <w:rPr>
          <w:b/>
        </w:rPr>
        <w:t>[Pages 7–7]</w:t>
      </w:r>
    </w:p>
    <w:p>
      <w:r>
        <w:t>Just as in the OEM/OES market, an analysis of the proximity of competitive relationships in the IAM shows that competition here mainly takes place between the providers Horizon/Westfalia, Bosal, and Brink. For the surveyed customers, almost only the established providers are considered as suppliers; they are rated significantly better by these customers than the smaller providers. Additionally, it plays a significant role in the IAM that the parties involved in the merger and Bosal have a technological advantage, particularly regarding the detachable towbars primarily distributed in the IAM, compared to the smaller competitors. The smaller competitors must purchase the vertically detachable systems required for the production of vertically detachable towbars from the parties involved in the merger – particularly from the Brink subsidiary ACS – and are thus dependent on the parties involved in the merger.</w:t>
      </w:r>
    </w:p>
    <w:p>
      <w:r>
        <w:t>Market entries in the IAM are unlikely according to the investigations of the Federal Cartel Office during the forecast period. The surveyed companies cited the lack of specific know-how and high development costs, as well as the fact that wholesalers prefer premium brands such as Brink, Bosal, and Westfalia, as reasons. Furthermore, the IAM is not a dynamic market; rather, it is expected to exhibit (at best) a constant market development.</w:t>
      </w:r>
    </w:p>
    <w:p>
      <w:r>
        <w:t>Competitive effects of the planned merger</w:t>
        <w:br/>
        <w:t>Due to the described corporate and market structural conditions, the preliminary view of the Federal Cartel Office was that both in the OEM/OES market and in the IAM, the merger would have led to unilateral effects, creating incentives for the remaining manufacturers to raise prices, reduce quantities, and/or worsen the delivery conditions for customers. Regarding the OEM/OES market, the Federal Cartel Office has reached the preliminary assessment that the merger project would also likely lead to coordinated effects between Horizon/Westfalia and Bosal. One reason for this is that the market would be transparent after Brink's exit as a competitor due to the tender-based awarding of contracts. In this respect, the merger would have been expected to significantly impede effective competition in both markets.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