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https://www.bundeskartellamt.de/SharedDocs/Entscheidung/DE/Entscheidungen/Fusionskontrolle/2005/B9-32-05.pdf;jsessionid=1BBE27051D4A7E620CA8FB0D05AAC8D0.2_cid381?__blob=publicationFile&amp;v=3</w:t>
      </w:r>
    </w:p>
    <w:p>
      <w:r>
        <w:t>Pages translated : 15</w:t>
      </w:r>
    </w:p>
    <w:p/>
    <w:p>
      <w:r>
        <w:rPr>
          <w:b/>
        </w:rPr>
        <w:t>[Pages 1–3]</w:t>
      </w:r>
    </w:p>
    <w:p>
      <w:r>
        <w:t xml:space="preserve">BUNDESKARTELLAMT 53113 Bonn  </w:t>
        <w:br/>
        <w:t xml:space="preserve">9. DECISION DIVISION Kaiser-Friedrich-Straße 16  </w:t>
        <w:br/>
        <w:t xml:space="preserve">B9 – 32/05  </w:t>
        <w:br/>
        <w:t xml:space="preserve">FOR PUBLICATION  </w:t>
        <w:br/>
        <w:t xml:space="preserve">MERGER PROCEDURE  </w:t>
        <w:br/>
        <w:t xml:space="preserve">ORDER PURSUANT TO § 40 ABS. 2 GWB  </w:t>
        <w:br/>
        <w:t xml:space="preserve">DECISION  </w:t>
        <w:br/>
        <w:t xml:space="preserve">In the administrative procedure  </w:t>
        <w:br/>
        <w:t xml:space="preserve">1. Bertelsmann AG  </w:t>
        <w:br/>
        <w:t xml:space="preserve">Carl-Bertelsmann-Straße 270  </w:t>
        <w:br/>
        <w:t xml:space="preserve">33311 Gütersloh  </w:t>
        <w:br/>
        <w:t xml:space="preserve">2. Reinhard Mohn GmbH  </w:t>
        <w:br/>
        <w:t xml:space="preserve">Carl-Bertelsmann-Straße 270  </w:t>
        <w:br/>
        <w:t xml:space="preserve">33311 Gütersloh  </w:t>
        <w:br/>
        <w:t xml:space="preserve">3. InFoScore Management- and Procedural Representatives for 3. + 4.:  </w:t>
        <w:br/>
        <w:t xml:space="preserve">Beteiligungs GmbH Attorneys  </w:t>
        <w:br/>
        <w:t xml:space="preserve">Rheinstraße 99 Heuking Kühn Lüer &amp; Wojtek  </w:t>
        <w:br/>
        <w:t xml:space="preserve">76532 Baden-Baden Magnusstraße 13  </w:t>
        <w:br/>
        <w:t xml:space="preserve">50672 Cologne  </w:t>
        <w:br/>
        <w:t xml:space="preserve">4. Mr. Sigmund Kiener  </w:t>
        <w:br/>
        <w:t xml:space="preserve">Rheinstraße 99  </w:t>
        <w:br/>
        <w:t xml:space="preserve">76532 Baden-Baden - PARTICIPANTS -  </w:t>
        <w:br/>
        <w:t xml:space="preserve">regarding the examination of a merger project pursuant to § 36 GWB, the  </w:t>
        <w:br/>
        <w:t xml:space="preserve">9. Decision Division of the Bundeskartellamt decided on May 19, 2005:  </w:t>
        <w:br/>
        <w:t xml:space="preserve">The merger notified by letter dated February 16, 2005, is not prohibited.  </w:t>
        <w:br/>
        <w:t xml:space="preserve">The fee for the notification is set at [...] € and imposed on the  </w:t>
        <w:br/>
        <w:t>participants 1. to 4.</w:t>
      </w:r>
    </w:p>
    <w:p>
      <w:r>
        <w:t xml:space="preserve">Reasons  </w:t>
        <w:br/>
        <w:t xml:space="preserve">1. By letter dated February 16, 2005 - received by the Bundeskartellamt  </w:t>
        <w:br/>
        <w:t xml:space="preserve">on the same day - the participants 1. and 2. notified the following merger project:  </w:t>
        <w:br/>
        <w:t xml:space="preserve">2. Bertelsmann AG, Gütersloh (participant 1, hereinafter "Bertelsmann"), plans,  </w:t>
        <w:br/>
        <w:t xml:space="preserve">through its 100% subsidiary Reinhard Mohn GmbH, Gütersloh  </w:t>
        <w:br/>
        <w:t xml:space="preserve">(participant 2, hereinafter "Mohn GmbH"), to establish a joint venture  </w:t>
        <w:br/>
        <w:t xml:space="preserve">under the name "arvato-InFoScore GmbH" (hereinafter NewCo) with  </w:t>
        <w:br/>
        <w:t xml:space="preserve">InFoScore Management- und Beteiligungs GmbH, Baden-Baden  </w:t>
        <w:br/>
        <w:t xml:space="preserve">(participant 3, hereinafter "InFoScore"), which is controlled by Mr. Sigmund  </w:t>
        <w:br/>
        <w:t xml:space="preserve">Kiener, Baden-Baden (participant 4, hereinafter "Mr. Kiener"), as the sole  </w:t>
        <w:br/>
        <w:t xml:space="preserve">shareholder. Bertelsmann will indirectly hold 63% of the shares in the newly  </w:t>
        <w:br/>
        <w:t xml:space="preserve">established company, while the remaining 37% of the shares will be held by  </w:t>
        <w:br/>
        <w:t xml:space="preserve">InFoScore and thus indirectly by Mr. Kiener. It is intended that [...] so that  </w:t>
        <w:br/>
        <w:t xml:space="preserve">the joint venture will ultimately be solely controlled by Bertelsmann. The  </w:t>
        <w:br/>
        <w:t xml:space="preserve">main contract provides that [...].  </w:t>
        <w:br/>
        <w:t xml:space="preserve">3. InFoScore/Mr. Kiener joined this notification through their procedural  </w:t>
        <w:br/>
        <w:t xml:space="preserve">representative by letter dated February 21, 2005.  </w:t>
        <w:br/>
        <w:t xml:space="preserve">4. After reviewing the notification, the Decision Division found that the  </w:t>
        <w:br/>
        <w:t xml:space="preserve">notified project falls within the scope of the Act Against Restraints of  </w:t>
        <w:br/>
        <w:t xml:space="preserve">Competition (GWB). By letter dated March 8, 2005, Bertelsmann and Mohn  </w:t>
        <w:br/>
        <w:t xml:space="preserve">GmbH as well as InFoScore/Mr. Kiener were informed that the Decision  </w:t>
        <w:br/>
        <w:t xml:space="preserve">Division had entered into the examination of the merger (main review  </w:t>
        <w:br/>
        <w:t xml:space="preserve">procedure).  </w:t>
        <w:br/>
        <w:t xml:space="preserve">5. In the further course of the procedure, the Decision Division obtained  </w:t>
        <w:br/>
        <w:t xml:space="preserve">additional information from competitors to clarify the conditions in the  </w:t>
        <w:br/>
        <w:t xml:space="preserve">markets affected by the merger in the field of direct marketing and risk and  </w:t>
        <w:br/>
        <w:t xml:space="preserve">receivables management. A total of 23 competitors from the areas  </w:t>
        <w:br/>
        <w:t xml:space="preserve">concerned by the merger project were surveyed. 21 companies provided  </w:t>
        <w:br/>
        <w:t>feedback.</w:t>
      </w:r>
    </w:p>
    <w:p>
      <w:r>
        <w:t xml:space="preserve">I. THE PARTICIPATING COMPANIES  </w:t>
        <w:br/>
        <w:t xml:space="preserve">6. Bertelsmann is an internationally operating media company. The group is  </w:t>
        <w:br/>
        <w:t xml:space="preserve">essentially divided into the operational areas RTL Group, Random House,  </w:t>
        <w:br/>
        <w:t xml:space="preserve">Gruner+Jahr, BMG, Arvato, and Direct Group, which encompass all  </w:t>
        <w:br/>
        <w:t xml:space="preserve">significant subsidiaries and participations. The business sectors that  </w:t>
        <w:br/>
        <w:t xml:space="preserve">Bertelsmann will contribute to the joint venture are primarily handled in the  </w:t>
        <w:br/>
        <w:t xml:space="preserve">area of arvato AG, to which all media services of the group are assigned.  </w:t>
        <w:br/>
        <w:t xml:space="preserve">Specifically, these are services of the "arvato direct services" area, which  </w:t>
        <w:br/>
        <w:t xml:space="preserve">includes all tasks directly related to managing a company's customer  </w:t>
        <w:br/>
        <w:t xml:space="preserve">relationships ("Customer Relationship Management"). These include, on the  </w:t>
        <w:br/>
        <w:t xml:space="preserve">one hand, factoring, receivables management, and collection services,  </w:t>
        <w:br/>
        <w:t xml:space="preserve">which are services that can be assigned to so-called receivables management,  </w:t>
        <w:br/>
        <w:t xml:space="preserve">as well as the collection and management of creditworthiness-relevant  </w:t>
        <w:br/>
        <w:t xml:space="preserve">information, which can be subsumed under risk management services. On  </w:t>
        <w:br/>
        <w:t xml:space="preserve">the other hand, the companies to be contributed provide services in address  </w:t>
        <w:br/>
        <w:t xml:space="preserve">trading, address enhancement, updating customer databases, and conducting  </w:t>
        <w:br/>
        <w:t xml:space="preserve">address research, which are collectively referred to as direct marketing  </w:t>
        <w:br/>
        <w:t xml:space="preserve">activities.  </w:t>
        <w:br/>
        <w:t xml:space="preserve">In the fiscal year 2003, Bertelsmann achieved a worldwide turnover of  </w:t>
        <w:br/>
        <w:t xml:space="preserve">€16.8 billion. Of this, [...] € was generated in the European Union; in  </w:t>
        <w:br/>
        <w:t xml:space="preserve">Germany, Bertelsmann generated revenues of €5.2 billion.  </w:t>
        <w:br/>
        <w:t xml:space="preserve">7. Mohn GmbH is a dependent company of Bertelsmann and serves as a  </w:t>
        <w:br/>
        <w:t xml:space="preserve">holding company for various, particularly domestic, participations of Bertelsmann AG. Mohn GmbH holds 100% of the shares in BFS Finance GmbH  </w:t>
        <w:br/>
        <w:t xml:space="preserve">Verl, whose 100% subsidiaries are active in receivables management, as well  </w:t>
        <w:br/>
        <w:t xml:space="preserve">as 100% of the shares in AZ-Direct, Gütersloh. All subsidiaries of AZ-Direct  </w:t>
        <w:br/>
        <w:t xml:space="preserve">are active in the field of direct marketing. AZ Direct includes, among others:  </w:t>
        <w:br/>
        <w:t xml:space="preserve">- Deutsche Post Adress GmbH1 Bonn (with [...]%, [...]% held by Deutsche  </w:t>
        <w:br/>
        <w:t xml:space="preserve">Post AG),  </w:t>
        <w:br/>
        <w:t xml:space="preserve">- bedirect ([...]%, [...]% held by Creditreform Neuss),  </w:t>
        <w:br/>
        <w:t xml:space="preserve">1 Its subsidiaries Adress Research GmbH, Gütersloh, and ABIS GmbH, Frankfurt/Main  </w:t>
        <w:br/>
        <w:t>are both active in the field of address enhancement.</w:t>
      </w:r>
    </w:p>
    <w:p>
      <w:r>
        <w:rPr>
          <w:b/>
        </w:rPr>
        <w:t>[Pages 4–6]</w:t>
      </w:r>
    </w:p>
    <w:p>
      <w:r>
        <w:t>4</w:t>
        <w:br/>
        <w:t>- Abacus Deutschland GmbH2 &amp; Co. KG, Düsseldorf (with [...]%, [...]% held by Double-Click Deutschland GmbH).</w:t>
        <w:br/>
        <w:t>The revenues of Mohn GmbH are included in the group revenue and are not reported separately.</w:t>
        <w:br/>
        <w:t>8. InFoScore is a corporate group that offers services in information and receivables management. These include:</w:t>
        <w:br/>
        <w:t>- InFoScore InFoData Beteiligungs GmbH, Baden-Baden,</w:t>
        <w:br/>
        <w:t>- InFoScore Informationsmanagement Beteiligungs GmbH, Baden-Baden,</w:t>
        <w:br/>
        <w:t>- IFS Beteiligungs GmbH, Baden-Baden,</w:t>
        <w:br/>
        <w:t>- InFoScore Datenmanagement Beteiligungs GmbH, Baden-Baden.</w:t>
        <w:br/>
        <w:t>9. These companies each have various subsidiaries and participations. Among them is an atypical silent participation ([...]%) of [...] in InFoScore Consumer Data GmbH, Baden-Baden, a 100% subsidiary of InFoScore InFoData Beteiligungs GmbH, Baden-Baden. InFoScore generated total revenues of [...] € in 2004, of which approximately [...] € were earned domestically.</w:t>
        <w:br/>
        <w:t>10. Mr. Sigmund Kiener is the sole shareholder of SK Vermögensverwaltung GmbH &amp; Co. KG, which holds 100% of the shares in InFoScore through SK Vermögensholding GmbH, among others. Additionally, Mr. Kiener is involved in various other companies through SK Vermögensholding GmbH, which are predominantly based abroad. In Germany, SK Vermögensholding holds, among others, a [...]% stake in INFORMA Unternehmensberatungs GmbH, Pforzheim; the other [...]% is held by Schober Informationsservice GmbH, Ditzingen, which operates in the field of direct marketing.</w:t>
        <w:br/>
        <w:t>Mr. Kiener generated total revenues of [...] € in 2004, of which [...] € were attributed to InFoScore. [...] € were generated by the companies that remain with Mr. Kiener; of this, only [...] € were from domestic sources.</w:t>
        <w:br/>
        <w:t>2 Abacus Deutschland GmbH operates as a provider of information-based products and services for the direct marketing industry, e.g., to target consumers via mail or email.</w:t>
      </w:r>
    </w:p>
    <w:p>
      <w:r>
        <w:t>5</w:t>
        <w:br/>
        <w:t>II. MERGER</w:t>
        <w:br/>
        <w:t>11. Through the merger, services and products from risk and receivables management as well as direct marketing will be combined in NewCo and offered to customers "from a single source." The service portfolio of the new company is to include, in addition to address management, credit checks, and debt collection, further innovative products for marketing and risk scoring, integrated receivables management and payment clearing, central settlement, as well as receivables purchase/factoring. In this context, Mohn GmbH will primarily contribute services from the field of direct marketing, alongside individual companies from the area of risk and receivables management, while the companies to be contributed from InFoScore are almost exclusively active in the field of risk and receivables management.</w:t>
        <w:br/>
        <w:t>The planned integration will take place in several successive steps:</w:t>
        <w:br/>
        <w:t>12. Mohn GmbH will establish a company (NewCo) and contribute its subsidiaries or participations mentioned in section 7 - except for the [...] - to NewCo.</w:t>
        <w:br/>
        <w:t>The participation in [...].</w:t>
        <w:br/>
        <w:t>13. In a further step, Mohn GmbH will directly acquire two companies along with their respective subsidiaries from InFoScore (100% of the shares each) to subsequently contribute them to NewCo through a capital increase in kind. These are:</w:t>
        <w:br/>
        <w:t>- (a) InFoScore InFoData Beteiligungs GmbH, Baden-Baden, and</w:t>
        <w:br/>
        <w:t>- (b) InFoScore Informationsmanagement GmbH, Baden-Baden (see section 8).</w:t>
        <w:br/>
        <w:t>14. Finally, Mr. Kiener will contribute the remaining two companies (see section 8) of InFoScore to NewCo through a contribution in kind.</w:t>
        <w:br/>
        <w:t>15. To achieve the desired shareholding structure, Mohn GmbH will then hold 63% of the shares in NewCo, and InFoScore will acquire 37% of the shares in NewCo.</w:t>
        <w:br/>
        <w:t>16. InFoScore confirmed by letter dated February 21, 2005, that even after the completion of the merger project, Mr. Kiener will directly or indirectly hold a number of companies through SK Vermögensverwaltung GmbH, Baden-Baden, remaining. These primarily involve companies operating in the fields of risk and receivables management in European countries and Switzerland, [...]. However, an exception exists regarding the [...]:</w:t>
        <w:br/>
        <w:t>17. [...] will in the future be active in the areas of address verification, address investigation, credit checks, and scoring. [...]</w:t>
        <w:br/>
        <w:t>18. Furthermore, Mr. Kiener holds a [...]% stake in INFORMA Unternehmensberatungs GmbH, Pforzheim (see section 10). The other [...]% is held by the Schober Group, Ditzingen, which is one of the strongest competitors of NewCo in the field of direct marketing. [...].</w:t>
        <w:br/>
        <w:t>19. The main contract also provides - for the protection of NewCo's business field - extensive non-compete clauses or competition-neutralizing regulations for the parties involved in NewCo as well as their subsidiaries and affiliated companies both domestically and abroad. [...].</w:t>
        <w:br/>
        <w:t>III. SCOPE OF APPLICATION OF THE GWB</w:t>
        <w:br/>
        <w:t>20. The merger does not have community-wide significance within the meaning of Council Regulation (EEC) No. 4064/89 of December 21, 1989, on the control of concentrations between undertakings (Merger Regulation), as the participating companies do not reach the thresholds of Article 1(2) and (3) of the Merger Regulation. Thus, the merger project does not fall within the scope of European merger control. However, the merger project falls within the scope of the GWB. The participating companies meet the requirements of § 35 Abs. 1 GWB, while the requirements of § 35 Abs. 2 GWB are not met.</w:t>
        <w:br/>
        <w:t>21. The project involves several merger scenarios that ultimately lead to the shareholding structure described at the outset:</w:t>
        <w:br/>
        <w:t>Initially, the acquisition of the "previously acquired Kiener participations" by Bertelsmann (section 13) fulfills the merger scenarios of § 37 Abs. 1 No. 2 and No. 3 lit. a GWB (control and share acquisition).</w:t>
        <w:br/>
        <w:t>In relation to NewCo, the merger scenarios of § 37 Abs. 1 No. 2 and No. 3 lit. a GWB (con-</w:t>
      </w:r>
    </w:p>
    <w:p>
      <w:r>
        <w:rPr>
          <w:b/>
        </w:rPr>
        <w:t>[Pages 7–9]</w:t>
      </w:r>
    </w:p>
    <w:p>
      <w:r>
        <w:t>7</w:t>
        <w:br/>
        <w:t>(control and share acquisition) in conjunction with sentence 3 of this provision (establishment of a joint venture) and by InFoScore § 37 Abs. 1 Nr. 3 lit. b GWB (share acquisition below 50%) in conjunction with sentence 3 of this provision are fulfilled.</w:t>
      </w:r>
    </w:p>
    <w:p>
      <w:r>
        <w:t>IV. MATERIAL CONDITIONS FOR PROHIBITION</w:t>
      </w:r>
    </w:p>
    <w:p>
      <w:r>
        <w:t>22. In the relevant markets, the merger does not lead to the creation or strengthening of a dominant market position. This is primarily due to the low market shares that the parties achieve in the relevant markets as a result of the merger.</w:t>
      </w:r>
    </w:p>
    <w:p>
      <w:r>
        <w:t>Substantive Market Definition</w:t>
      </w:r>
    </w:p>
    <w:p>
      <w:r>
        <w:t>23. The merger affects the relevant market "risk and receivables management" on the one hand, and the relevant market for address trading and address enhancement, which falls under the field of direct marketing, on the other hand. The decision-making department has also previously considered these as separate markets. In the present merger project, services from risk and receivables management as well as from the field of direct marketing are being combined in a company for the first time to this extent and are offered both as a comprehensive service and still as individual services. However, the decision-making department also maintains the previous delineation for this merger project, as there are currently only a few companies that can offer these services together to such an extent, if at all. This delineation has also been agreed upon by the overwhelming majority of the surveyed competitors.</w:t>
      </w:r>
    </w:p>
    <w:p>
      <w:r>
        <w:t>24. Risk management and receivables management form a relevant market, which, however, does not include factoring services.</w:t>
      </w:r>
    </w:p>
    <w:p>
      <w:r>
        <w:t>25. Risk management serves to gather information about the creditworthiness of commercial customers (business information / company credit checks) or private customers (consumer information / consumer credit checks). For this purpose, risk databases are operated and services in the area of credit protection are provided. Specifically, this involves credit checks for new customers, credit monitoring for existing customers to detect potential payment difficulties early, or credit monitoring in the context of accounting or subsequent collection procedures, in order to realize or title potentially threatened receivables in a timely manner. The recipients of the information are companies or individuals who are concerned with assessing potential risks of a business relationship.</w:t>
      </w:r>
    </w:p>
    <w:p>
      <w:r>
        <w:t>26. Receivables management is a downstream service to risk management. It deals with the collection or management of outstanding receivables. This includes not only collection and accounts receivable management but also factoring services in the broadest sense. However, the Federal Cartel Office has previously classified factoring services as a separate market, the market for financial services, as these services are predominantly offered by pure financial and credit institutions. Therefore, this market is not considered relevant in the context of this merger project.</w:t>
      </w:r>
    </w:p>
    <w:p>
      <w:r>
        <w:t>27. Receivables management employs measures that are of great importance for securing liquidity and thus the stability of companies. For a successful strategy of receivables management, experiences from the field of risk management are helpful. Since services from both areas are often requested together in orders from corporate clients, these services are offered together by many companies, including the parties involved. It is therefore reasonable to consider the areas of risk and receivables management as a single market. This was also confirmed by the survey of competitors on this point. Whether this market can be further segmented remains open here. For the assessment of the merger project, this would not lead to a different result.</w:t>
      </w:r>
    </w:p>
    <w:p>
      <w:r>
        <w:t>28. Companies that operate in the field of risk or receivables management are subject to strict legal requirements. For example, commercial and business information agencies must report the procedures they use for the purpose of transmission for commercial purposes to the supervisory authority in accordance with the Federal Data Protection Act and are monitored by it. There are no additional market entry barriers. Furthermore, creditworthiness data is not a scarce resource.</w:t>
      </w:r>
    </w:p>
    <w:p>
      <w:r>
        <w:t>29. Address trading/address enhancement is an independent, materially relevant market within the field of direct marketing.</w:t>
      </w:r>
    </w:p>
    <w:p>
      <w:r>
        <w:t>30. A regulatory reporting and monitoring obligation is not required for services in the field of direct marketing. Direct marketing - often also referred to as dialogue marketing - generally includes all types of marketing activities where media are used with the aim of establishing an interactive relationship with target individuals to prompt them to make an individual and, above all, measurable response. This includes, within the framework of so-called classical direct advertising, addressed advertising mailings, unaddressed advertising mailings such as brochures, catalogs, and direct mailings, as well as active and passive telemarketing.</w:t>
      </w:r>
    </w:p>
    <w:p>
      <w:r>
        <w:t>31. The field of direct marketing also includes address trading and address enhancement. Address trading is part of the value chain in direct marketing, which also includes corresponding upstream or separately requested services, such as the preparation, enrichment, verification, and optimization of address data (address enhancement) as well as the matching of existing positive data sets with negative lists ("wash matching"). This helps to clean up generated address data regarding their currency and creditworthiness. The companies that Bertelsmann will contribute from this area to NewCo primarily deal with the trading, management, and enhancement of address data. This also corresponds to the area of activity in which the surveyed competitors from the field of direct marketing are active.</w:t>
      </w:r>
    </w:p>
    <w:p>
      <w:r>
        <w:t>32. In addition to address trading/address enhancement, the field of direct marketing also includes interactive advertising on the internet, poster and outdoor advertising with response elements, or radio and television advertising with response elements. However, since these services are partially requested by other clients and are also provided by other companies as services, other than those companies that offer address trading/address enhancement,</w:t>
      </w:r>
    </w:p>
    <w:p>
      <w:r>
        <w:rPr>
          <w:b/>
        </w:rPr>
        <w:t>[Pages 10–12]</w:t>
      </w:r>
    </w:p>
    <w:p>
      <w:r>
        <w:t>10</w:t>
        <w:br/>
        <w:t>address trading/address enhancement is thus an independent market.</w:t>
      </w:r>
    </w:p>
    <w:p>
      <w:r>
        <w:t>33. Based on these considerations, the following will assume the materially relevant markets for risk and receivables management as well as for address trading and address enhancement.</w:t>
      </w:r>
    </w:p>
    <w:p>
      <w:r>
        <w:t>Geographically relevant market</w:t>
      </w:r>
    </w:p>
    <w:p>
      <w:r>
        <w:t>34. In spatial terms, these are each national markets. Language barriers and differing postal regulations, such as the absence of standardization in the writing of addresses, hinder the assumption of cross-border markets. This assessment has also been held by the decision-making department in previous decisions. However, the parties point out that in both areas, there are unmistakable trends towards internationalization on the part of customers. However, since different data protection standards still apply nationally, the spatial delimitation of the aforementioned materially relevant markets is limited to the territory of the Federal Republic of Germany. Thus, the Federal Republic of Germany is the geographically relevant market.</w:t>
      </w:r>
    </w:p>
    <w:p>
      <w:r>
        <w:t>Market shares in the market for risk and receivables management</w:t>
      </w:r>
    </w:p>
    <w:p>
      <w:r>
        <w:t>35. According to the parties and the surveyed competitors, the sales volume in the market for risk and receivables management amounted to approximately €1.5 billion in the past financial year. An overview of the revenues and market shares of the largest competitors in relation to NewCo is shown in the following table (figures in million €):</w:t>
      </w:r>
    </w:p>
    <w:p>
      <w:r>
        <w:t>Mohn InFo- Credit- Bürgel SAF Schufa KG KSP KA/ Global Total</w:t>
        <w:br/>
        <w:t>Score reform EOS Source Group</w:t>
        <w:br/>
        <w:t>Revenue xx xx xx xx xx xx xx xx xx xx xx</w:t>
        <w:br/>
        <w:t>Market share &lt; 5% &lt; 10% &lt; 20% &lt; 10% &lt; 10% &lt; 10% &lt; 10% &lt; 10% &lt; 10% &lt; 10% 45-50%</w:t>
      </w:r>
    </w:p>
    <w:p>
      <w:r>
        <w:t>36. The market "risk and receivables management" is characterized by a few large and a multitude of small companies. There are participations among some larger companies as well as various cooperations. The table shows that the top 10 of the relevant market achieve almost 50% of the market shares. Major companies include, for example, Schufa-Holding AG, Wiesbaden, particularly for the area of credit reports, Bürgel Wirtschaftsinformationen GmbH &amp; Co. KG, Hamburg, Creditreform Consumer GmbH, Neuss, SHS Informationssysteme AG, Martinsried, and EOS Holding GmbH, Hamburg, which belongs to Otto GmbH. The nature of the collaboration depends on the breadth of the customer's order. In particular, the larger companies in this field are trying to establish business models that include a combination of credit, collection, and other information for the customer. If necessary, services from other specialized companies are also utilized.</w:t>
      </w:r>
    </w:p>
    <w:p>
      <w:r>
        <w:t>37. The parties achieved a total revenue of [...] € in the relevant market, with the largest revenue share being contributed by Infoscore, which is particularly strong in the collection business. Thus, the parties achieve a combined market share of &lt; 10% in the relevant market here.</w:t>
      </w:r>
    </w:p>
    <w:p>
      <w:r>
        <w:t>38. In the past, the decision-making department had further differentiated in the area of credit checks between consumer credit checks and corporate credit checks (section 25). Such a subdivision can remain unaddressed here, as Schufa achieves a market share of 50% in the segment "consumer credit checks," thereby excluding the assumption of a dominant market position by the parties. In the area of "corporate credit checks," however, Bertelsmann is not active at all, and InFoScore is only marginally active.</w:t>
      </w:r>
    </w:p>
    <w:p>
      <w:r>
        <w:t>Market shares in the market for address trading/address enhancement</w:t>
      </w:r>
    </w:p>
    <w:p>
      <w:r>
        <w:t>39. The market for address trading and address enhancement had an estimated total volume of €772 million in Germany in 2004. This volume is derived from the data of the direct marketing study of Deutsche Post as well as estimated empirical values from the parties. There is no reason to doubt this information.</w:t>
      </w:r>
    </w:p>
    <w:p>
      <w:r>
        <w:t>40. The main competitors in the relevant market are shown in the following table (revenue figures in million €):</w:t>
      </w:r>
    </w:p>
    <w:p>
      <w:r>
        <w:t>Mohn InFo- KG EOS Schober Merkur Axciom DP Global Total</w:t>
        <w:br/>
        <w:t>Score Group</w:t>
        <w:br/>
        <w:t>Revenue xx xx xx xx xx xx xx xx xx</w:t>
        <w:br/>
        <w:t>Market share &lt; 10% &lt; 20% &lt; 20% &lt; 10% &lt; 10% &lt; 10% &lt; 10% 50-60% &lt; 5%</w:t>
      </w:r>
    </w:p>
    <w:p>
      <w:r>
        <w:t>The top 8 of the address trading/address enhancement market thus cover approximately 60% of the market.</w:t>
      </w:r>
    </w:p>
    <w:p>
      <w:r>
        <w:t>41. Bertelsmann achieved revenues of [...] € in this market in Germany in 2004, thereby reaching a market share of &lt; 10%. The InFoScore Group is not directly active in this market. However, the revenues generated by the InFoScore Group through the provision of negative data for the so-called "washing reconciliation" with positive address stocks must be attributed to the area of address enhancement. In 2004, the InFoScore Group generated revenues of [...] € with the provision of negative lists for the implementation of the so-called washing reconciliation. Thus, the parties achieve a combined market share of approximately &lt; 10%.</w:t>
      </w:r>
    </w:p>
    <w:p>
      <w:r>
        <w:t>Competitive assessment</w:t>
      </w:r>
    </w:p>
    <w:p>
      <w:r>
        <w:t>42. The relatively low market shares as well as the respective low market share increases in the relevant markets make it clear that a dominant market position is not established by the merger. This result is not called into question by the fact that the merger project provides the parties with the following competitive advantages:</w:t>
        <w:br/>
        <w:t>a. Product improvement through the integration of marketing and credit data</w:t>
      </w:r>
    </w:p>
    <w:p>
      <w:r>
        <w:t>43. Product improvement is present, among other things, where the customer demands a comprehensive risk and debt management. The quality of the offering depends on the quantity and quality of the available data material. Although the merger creates a company...</w:t>
      </w:r>
    </w:p>
    <w:p>
      <w:r>
        <w:rPr>
          <w:b/>
        </w:rPr>
        <w:t>[Pages 13–15]</w:t>
      </w:r>
    </w:p>
    <w:p>
      <w:r>
        <w:t>13</w:t>
        <w:br/>
        <w:t>company (NewCo) with one of the largest data collections in the Federal Republic of Germany. In addition, the participating companies contribute complementary experiences and information. In particular, the combination of "positive data" from address trading and "negative data" from the field of risk and receivables management ("washing adjustment," see section 31) enables a particularly targeted customer analysis or an exact determination of target groups. The possibility of such an adjustment can, among other things, reduce the costs and risks associated with acquiring new customers. The "washing adjustment" thus serves, among other things, to increase the profitability of direct marketing measures. NewCo will likely be able to offer the service "washing adjustment" more cost-effectively than most competitors due to access to a large amount of positive and negative data. Both the participants and the surveyed competitors consider synergy effects of this kind to be possible due to the merger project. However, a competitively concerning advantage cannot be justified by this:</w:t>
      </w:r>
    </w:p>
    <w:p>
      <w:r>
        <w:t>44. A potential competitive advantage from the merger participants is relativized by the fact that competitors also have the opportunity to carry out these "washing adjustments," as corresponding address-enhancing services are offered on the market and debtor directory data is publicly accessible under legal provisions. Providers of "washing adjustments" include, among others, Schober Information-Services GmbH, Ditzingen, Global Group Dialog Solutions AG, Idstein, and Bürgel Direktmarketing Management GmbH. In this respect, NewCo remains significantly exposed to competition even in comprehensive risk and debt management services such as the "washing adjustment."</w:t>
      </w:r>
    </w:p>
    <w:p>
      <w:r>
        <w:t>45. Furthermore, there have also been efforts in the past by other competitors to bundle their marketing, creditworthiness, and collection information and offer it as a "package solution." Clearly, these efforts have failed, not least due to the insufficient market volumes. The merger is a renewed attempt in this direction. The surveyed competitors also expressed the suspicion that further mergers of this kind would follow.</w:t>
      </w:r>
    </w:p>
    <w:p>
      <w:r>
        <w:t>b. Coordination possibilities with competitors</w:t>
      </w:r>
    </w:p>
    <w:p>
      <w:r>
        <w:t>46. No different result arises when considering the various interconnections of the participants with competitors (sections 7, 10, 18, and 19). Although the main contract concluded between the participants provides for extensive non-compete clauses, these interconnections relate solely to individual subsidiaries of NewCo, each of which operates only in specific market segments. In this respect, nothing changes due to the intended merger, as the interconnections between Bertelsmann and various competitors already existed beforehand. New and thus to be assessed differently is particularly the "involvement" of Schober Information-Services GmbH through the joint venture INFORMA Unternehmensberatungs GmbH, Pforzheim, with Mr. Kiener. Furthermore, considering the "atypical silent participation" of [...] in InFoScore Consumer Data GmbH (section 9), the competitively neutral "friendly" environment of NewCo is significantly expanded overall. The decision-making department will pay special attention to this aspect when examining future merger projects. For the project to be assessed here, these interconnections can still be regarded as unproblematic in light of NewCo's currently low market shares.</w:t>
      </w:r>
    </w:p>
    <w:p>
      <w:r>
        <w:t>V. SUMMARY</w:t>
      </w:r>
    </w:p>
    <w:p>
      <w:r>
        <w:t>47. As a result, the merger creates a market-strong but by no means a market-dominating company, which would gain an uncontrollable scope of behavior in the relevant markets, according to the prevailing opinion of competitors. After weighing all reasons - particularly also due to the strong competitors in the individual segments - the Federal Cartel Office has decided not to prohibit the notified merger project. This decision is issued pursuant to § 40 Abs. 2 Satz 1 GWB.</w:t>
      </w:r>
    </w:p>
    <w:p>
      <w:r>
        <w:t>VI. FEES</w:t>
      </w:r>
    </w:p>
    <w:p>
      <w:r>
        <w:t>48. [...]</w:t>
      </w:r>
    </w:p>
    <w:p>
      <w:r>
        <w:t>VII. INSTRUCTION ON LEGAL REMEDIES</w:t>
      </w:r>
    </w:p>
    <w:p>
      <w: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The deadline for the appeal's justification is one month. It begins with the filing of the appeal and can be extended upon request by the presiding judge of the appellate court. The appeal justification must contain the statement of the extent to which the decision is contested and the request for its amendment or repeal, and specify the facts and evidence on which the appeal is based. The appeal and the appeal justification must be signed by a lawyer admitted to a German court.</w:t>
      </w:r>
    </w:p>
    <w:p>
      <w:r>
        <w:t>Dr. Ruppelt E.M. Schulze zu Solms-Sieglin</w:t>
      </w:r>
    </w:p>
    <w:p>
      <w:r>
        <w:t>It is pointed out that this decision - in terms of its tenor - will be published in the Federal Gazette (§ 43 Satz 1 Nr. 2 GWB) and - in full text - possibly published elsewhere. You are therefore requested to inform the decision-making department within one week of receiving the decision whether the decision contains trade secrets that need to be deleted before publication. Please justify the deletions you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