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https://www.bundeskartellamt.de/SharedDocs/Entscheidung/DE/Fallberichte/Kartellverbot/2018/B9-44-14.pdf?__blob=publicationFile&amp;v=5</w:t>
      </w:r>
    </w:p>
    <w:p>
      <w:r>
        <w:t>Pages translated : 3</w:t>
      </w:r>
    </w:p>
    <w:p/>
    <w:p>
      <w:r>
        <w:rPr>
          <w:b/>
        </w:rPr>
        <w:t>[Pages 1–3]</w:t>
      </w:r>
    </w:p>
    <w:p>
      <w:r>
        <w:t xml:space="preserve">Case Report February 26, 2018  </w:t>
        <w:br/>
        <w:t xml:space="preserve">Fines Against Port Towing Service Providers  </w:t>
        <w:br/>
        <w:t xml:space="preserve">Towing and Pushing Services in Ports  </w:t>
        <w:br/>
        <w:t xml:space="preserve">Industry:  </w:t>
        <w:br/>
        <w:t xml:space="preserve">File Number: B9-44/14  </w:t>
        <w:br/>
        <w:t>Date of Decision: 10/09/2017, 11/13/2017, 12/04/2017, 02/06/2018</w:t>
      </w:r>
    </w:p>
    <w:p>
      <w:r>
        <w:t>The Federal Cartel Office imposed fines totaling approximately €17.5 million against four providers of port towing services and their responsible employees for the agreement of quota cartels for various German ports during the period from October 2017 to February 2018.</w:t>
      </w:r>
    </w:p>
    <w:p>
      <w:r>
        <w:t>The fined companies are Fairplay Schleppdampfschiffsreederei Richard Borchard GmbH, Hamburg (Fairplay), Bugsier-, Reederei- und Bergungs GmbH &amp; Co. KG, Hamburg (Bugsier), Petersen &amp; Alpers GmbH &amp; Co. KG, Hamburg (P&amp;A), and Schleppreederei Kotug GmbH, Hamburg (Kotug). The Federal Cartel Office did not impose a fine on Neue Schleppdampfschiffsreederei Louis Meyer GmbH &amp; Co. KG (Louis Meyer) for reasons of discretion.</w:t>
      </w:r>
    </w:p>
    <w:p>
      <w:r>
        <w:t>The proceedings were initiated in 2014 following the leniency application of the companies Unterweser Reederei GmbH, Bremerhaven (URAG), and its subsidiary Lütgens &amp; Reimers GmbH &amp; Co. KG, Hamburg (L&amp;R), which were also involved in the agreements and coordinated behaviors.</w:t>
      </w:r>
    </w:p>
    <w:p>
      <w:r>
        <w:t>The agreements primarily affected the relevant market for towing services in various German ports. Port, assistance, or pushing tugs are relatively small, very maneuverable vessels with powerful propulsion systems that push larger ships to their berths and out of the port. The demand for this service comes from the shipping companies calling at the respective port – especially the regularly operating liner shipping companies.</w:t>
      </w:r>
    </w:p>
    <w:p>
      <w:r>
        <w:t xml:space="preserve">I. Agreements on Port Towing Services for Elbe and Weser  </w:t>
        <w:br/>
        <w:t>In 1996 and 1999, Dutch towing companies first entered into competition with the towing companies operating in Hamburg and Bremerhaven, which collaborated in so-called working groups. The dispute over these market entries was referred to in the industry as the so-called "tugboat war."</w:t>
      </w:r>
    </w:p>
    <w:p>
      <w:r>
        <w:t>Ultimately, the companies named below agreed around 2000/2001 to establish the market shares existing at that time as fixed revenue quotas for each port. The customers of each company operating in the respective port were to be protected and not poached by the other parties involved in the agreement. In case of deviations from the quotas, customers were to be transferred by mutual agreement through the submission of protective offers or by withholding offers.</w:t>
      </w:r>
    </w:p>
    <w:p>
      <w:r>
        <w:t>For Hamburg, the companies operating there agreed on a quota of approximately 30% for Kotug. The remaining 70% of the total towing revenues generated in Hamburg were divided among the providers Fairplay, Bugsier, L&amp;R, P&amp;A, and Louis Meyer, by identifying individual revenue quotas for each of these providers for four geographically separated port areas. They recorded their respective gross and net revenues as well as their work performance for each of these port areas and then compared the actual work performance (Ist) with the work performance to be provided according to the agreed individual quota (Soll) on a monthly basis. Any excess or shortfall in work was to be adjusted in the following period through the deployment plans of the joint operations center. Value balances of the quotas across all port areas were settled by the companies in the following month through payments among themselves.</w:t>
      </w:r>
    </w:p>
    <w:p>
      <w:r>
        <w:t>For Bremerhaven, the companies operating there agreed on a quota of 51.67% for Kotug. Bugsier and URAG together accounted for the remaining 48.33% of the total revenues generated in Bremerhaven. Bugsier and URAG also divided their share of the total towing revenues generated in the Weser ports according to revenue quotas and had agreed on different revenue quotas for the ports of Bremerhaven, Nordenham, and Blexen on the one hand and for the ports of Bremen and Brake on the other.</w:t>
      </w:r>
    </w:p>
    <w:p>
      <w:r>
        <w:t>To agree on these quota cartels and to discuss the transfer of customers, adjustment needs, and the functioning of the quota settlements, the responsible parties of the aforementioned companies met at various times. Regularly, at least once a year, the responsible parties from Kotug, Fairplay, and Bugsier reconciled their revenue figures to monitor and verify compliance with the quota agreement. These agreements were practiced until the end of 2013.</w:t>
      </w:r>
    </w:p>
    <w:p>
      <w:r>
        <w:t xml:space="preserve">II. Agreements on Port Towing Services for Rostock and Wismar  </w:t>
        <w:br/>
        <w:t>Bugsier and Fairplay entered into a contract regarding the allocation of work performance and revenue from their port towing activities in the ports of Rostock and Wismar, which was practiced at least from 2000 to 2013. Bugsier and Fairplay agreed in this contract that four towing vessels would be sufficient for both ports, with Fairplay providing three and Bugsier one vessel. They then divided the work performance and revenue in a ratio of 3:1 among themselves.</w:t>
      </w:r>
    </w:p>
    <w:p>
      <w:r>
        <w:t xml:space="preserve">III. Agreements Regarding Mooring Services  </w:t>
        <w:br/>
        <w:t>Bugsier and L&amp;R also made a territorial protection agreement regarding mooring services in the ports of Hamburg and Bremerhaven, which was practiced from at least 2004 until at least 2013. They agreed that Bugsier should not operate in Hamburg and L&amp;R should not operate in Bremerhaven.</w:t>
      </w:r>
    </w:p>
    <w:p>
      <w:r>
        <w:t xml:space="preserve">IV. Agreements Regarding Assistance Services and Salvage in Parts of the Weser and Jade  </w:t>
        <w:br/>
        <w:t>In a contractually described area, Bugsier and URAG agreed on revenue quotas, a territorial division, and competition bans – the latter also outside the defined areas – for assistance services and salvage in parts of the Weser and Jade. The responsible parties of both companies implemented this agreement from at least 2004 until at least 2014.</w:t>
      </w:r>
    </w:p>
    <w:p>
      <w:r>
        <w:t>The individual fines were determined based on the revenue figures in accordance with the fine guidelines of the Federal Cartel Office. In determining the amount of the fines, the Federal Cartel Office took into account, among other things, the nature and severity as well as the duration of the cartel violation.</w:t>
      </w:r>
    </w:p>
    <w:p>
      <w:r>
        <w:t>Furthermore, the Federal Cartel Office considered the strong buyer position of the large liner shipping companies in favor of the cartel participants.</w:t>
      </w:r>
    </w:p>
    <w:p>
      <w:r>
        <w:t>Additionally, in applying the office's leniency program, it was taken into account that three of the fined companies cooperated with the Federal Cartel Office under the leniency program during the course of the proceedings. Moreover, all four fined companies and the personally affected individuals agreed to a consensual termination of the proceedings (so-called settlement), which partially had a further fine-reducing effect for the companies and affected individuals.</w:t>
      </w:r>
    </w:p>
    <w:p>
      <w:r>
        <w:t>In applying the leniency program of the Federal Cartel Office, no fine was imposed on URAG (and its subsidiary L&amp;R), even though they were also involved in the agreements.</w:t>
      </w:r>
    </w:p>
    <w:p>
      <w:r>
        <w:t>The fine notices have since become legally binding. Thus, the proceedings are concluded. Individuals who have suffered damage from the violations may claim compensation from the parties involved, provided the legal requirements are met (§ 33a GWB). The legally binding fine notices have a binding effect regarding the determination of the violation according to § 33b GWB.</w:t>
      </w:r>
    </w:p>
    <w:p>
      <w:r>
        <w:t xml:space="preserve">The case report reflects the status as of February 23, 2018, and does not account for any subsequent events.  </w:t>
        <w:br/>
        <w:t xml:space="preserve">1 Guidelines for the Determination of Fines in Cartel Administrative Offense Proceedings of June 25, 2013.  </w:t>
        <w:br/>
        <w:t>2 Federal Cartel Office, Announcement No. 9/2006 on the Waiver and Reduction of Fines in Cartel Cases of March 7, 2006 – Leniency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