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http://www.bundeskartellamt.de/SharedDocs/Entscheidung/DE/Fallberichte/Fusionskontrolle/2015/B9-48-15.pdf;jsessionid=03B2102ACC1E6756C87C1BB47F9996FA.2_cid387?__blob=publicationFile&amp;v=3</w:t>
      </w:r>
    </w:p>
    <w:p>
      <w:r>
        <w:t>Pages translated : 3</w:t>
      </w:r>
    </w:p>
    <w:p/>
    <w:p>
      <w:r>
        <w:rPr>
          <w:b/>
        </w:rPr>
        <w:t>[Pages 1–3]</w:t>
      </w:r>
    </w:p>
    <w:p>
      <w:r>
        <w:t xml:space="preserve">Case Report August 18, 2015  </w:t>
        <w:br/>
        <w:t xml:space="preserve">Approval of a Merger in the Wholesale Sector for Car Replacement Parts  </w:t>
        <w:br/>
        <w:t xml:space="preserve">Industry: Open Wholesale Trade of Car Replacement Parts  </w:t>
        <w:br/>
        <w:t xml:space="preserve">File Number: B9 – 48/15  </w:t>
        <w:br/>
        <w:t>Date of Decision: August 13, 2015</w:t>
      </w:r>
    </w:p>
    <w:p>
      <w:r>
        <w:t>The Federal Cartel Office has approved the acquisition of Trost Auto Service Technik SE ("Trost") by Wessels &amp; Müller SE ("WM") subject to conditions. The merger would have led to a significant impediment of effective competition in six regional markets in Germany for the open wholesale trade of car replacement parts without suitable conditions.</w:t>
      </w:r>
    </w:p>
    <w:p>
      <w:r>
        <w:t>Both WM and Trost operate in the open wholesale trade of automotive replacement parts. Their main customers are independent, that is, non-manufacturer-affiliated, small workshops. These workshops repair vehicles of all makes, unlike the authorized workshops of car manufacturers, and therefore request a wide range of different replacement parts for various vehicle brands. The customer service of the workshops includes a minimal duration for repairs and a similarly short duration for customers' vehicles in the workshop. The wholesalers typically supply the small, independent workshops multiple times a day (up to eight times) from their branches. Consequently, the branches of the wholesalers are primarily active regionally around their locations. In this case, the markets are therefore to be defined regionally. The distance from which replacement parts are delivered from a location depends, among other things, on the transport connections of the location, traffic density, the size of the branch, and the number of customers in the surrounding area. Substantively, a distinction must be made between the open wholesale trade for car replacement parts and the open wholesale trade for replacement parts for commercial vehicles, as the competitive conditions and structures in these two markets are too different to be summarized into a single relevant market.</w:t>
      </w:r>
    </w:p>
    <w:p>
      <w:r>
        <w:t>1</w:t>
      </w:r>
    </w:p>
    <w:p>
      <w:r>
        <w:t>Through the merger, effective competition in the regional markets of Stuttgart, Frankfurt, Darmstadt, Heilbronn, Braunschweig, and Magdeburg would have been significantly impeded. It would have been expected that WM would achieve a dominant position in the open wholesale trade of car replacement parts. The following findings particularly supported this position of WM. WM would be the market leader in these regional markets by a wide margin. The market shares in each of these markets would be – in some cases far – above the presumption threshold for market dominance of 40 percent, and the gap to the next largest competitors would be very high. Furthermore, WM is expanding its good access to sales and procurement markets through the acquisition of Trost. In the mentioned regional markets, WM would have a very high density of locations and could thus reach customers particularly well. Moreover, WM is currently legally connected to the strongest nationwide competitor, Stahlgruber Otto Gruber AG ("Stahlgruber/PV"), in the purchasing community ATR AG or ATR GmbH. This, along with WM's strong financial resources and capabilities, leads to a further consolidation of WM's market position in the competitively problematic markets and significantly deters competitors from entering the market. With its market-relevant resources, WM would also be able to defend its superior market position.</w:t>
      </w:r>
    </w:p>
    <w:p>
      <w:r>
        <w:t>The competitors would not be able to competitively control WM's scope of behavior after the merger in the mentioned regional markets. Although Stahlgruber/PV is a competitor that is represented almost nationwide, holds high market shares in some regional markets, and also has market-relevant resources, its otherwise strong nationwide position would be subordinate in Stuttgart, Darmstadt, Frankfurt, Heilbronn, Braunschweig, and Magdeburg after the merger, as it would be significantly surpassed regionally by WM. At the same time, no insignificant competitor would exit the market with Trost, but rather a competitor that is part of the leading group in many of these markets. The remaining competitors are medium-sized family businesses whose financial and market-related resources are significantly more limited than those of WM. None of the competitors can competitively control WM in the mentioned regional markets after the merger.</w:t>
      </w:r>
    </w:p>
    <w:p>
      <w:r>
        <w:t>Also, the providers of original replacement parts, which do not belong to the same relevant market, as well as internet providers cannot exert sufficient competitive pressure on WM after the merger.</w:t>
      </w:r>
    </w:p>
    <w:p>
      <w:r>
        <w:t>2</w:t>
      </w:r>
    </w:p>
    <w:p>
      <w:r>
        <w:t>The providers of original replacement parts are usually contractual partners of the car manufacturers. They can only sell replacement parts of the respective car manufacturer to independent workshops, but not a comprehensive range of all replacement parts regularly requested by independent workshops for various vehicles. Therefore, they are not suitable substitutes for the open wholesale trade. Although contractual partners of car manufacturers sometimes offer a partial range that overlaps with that of the open wholesale trade – temporarily – at prices that may also be interesting for an independent workshop, the resulting – possibly temporary – competitive pressure in sub-segments is not sufficient to competitively control WM in its overall activities after the merger.</w:t>
      </w:r>
    </w:p>
    <w:p>
      <w:r>
        <w:t>Internet trade primarily targets retail and end consumers and is not an alternative to wholesale trade with its regular, multiple daily deliveries to independent workshops. Potential competition that could exert competitive control over WM in the aforementioned regional markets even before market entry is not evident, nor is there a controlling effect from the fragmented demand side.</w:t>
      </w:r>
    </w:p>
    <w:p>
      <w:r>
        <w:t>In summary, the conditions for prohibition are met in the regional markets of Stuttgart, Darmstadt, Heilbronn, Frankfurt, Braunschweig, and Magdeburg due to the merger. In other regional markets, the conditions for prohibition were not met, or they were minor markets that did not fall under the prohibition authority of the Federal Cartel Office.</w:t>
      </w:r>
    </w:p>
    <w:p>
      <w:r>
        <w:t>WM and Trost have offered, as a suspensive condition, to sell one or more locations in the affected regional markets to a suitable third party not connected to them, who is capable of actively continuing these locations in competition with WM. If this is successful, the significant impediment to effective competition caused by the merger in the regional markets of Darmstadt, Frankfurt, Heilbronn, Braunschweig, and Magdeburg would be prevented. In Stuttgart, there would only be minor market share increases at a moderate level. Furthermore, WM has offered to exit from ATR AG and its parent company, ATR GmbH, as soon as possible. According to the Federal Cartel Office, these commitments, if implemented, are suitable to eliminate the conditions for prohibition.</w:t>
      </w:r>
    </w:p>
    <w:p>
      <w: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