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https://www.bundeskartellamt.de/SharedDocs/Entscheidung/DE/Entscheidungen/Fusionskontrolle/2002/B9-50-02.pdf?__blob=publicationFile&amp;v=1</w:t>
      </w:r>
    </w:p>
    <w:p>
      <w:r>
        <w:t>Pages translated : 10</w:t>
      </w:r>
    </w:p>
    <w:p/>
    <w:p>
      <w:r>
        <w:rPr>
          <w:b/>
        </w:rPr>
        <w:t>[Pages 1–3]</w:t>
      </w:r>
    </w:p>
    <w:p>
      <w:r>
        <w:t>FEDERAL CARTEL OFFICE</w:t>
        <w:br/>
        <w:t>9. DECISION DIVISION</w:t>
        <w:br/>
        <w:t>B 9 - 50/02</w:t>
        <w:br/>
        <w:t>For publication</w:t>
        <w:br/>
        <w:t>Merger Control Procedure</w:t>
        <w:br/>
        <w:t>Order pursuant to § 40 paragraph 2 GWB</w:t>
        <w:br/>
        <w:t>Decision</w:t>
        <w:br/>
        <w:t>In the administrative procedure</w:t>
        <w:br/>
        <w:t>1. Connex Verkehr GmbH, Frankfurt am Main</w:t>
        <w:br/>
        <w:t>2. Deutsche Nahverkehrsgesellschaft mbH, Hanover</w:t>
        <w:br/>
        <w:t>- Parties involved -</w:t>
        <w:br/>
        <w:t>Representatives for 1. and 2.:</w:t>
        <w:br/>
        <w:t>Lawyers Flick Gocke Schaumburg</w:t>
        <w:br/>
        <w:t>Johanna-Kinkel-Strasse 2 - 4</w:t>
        <w:br/>
        <w:t>53175 Bonn</w:t>
        <w:br/>
        <w:t>3. Deutsche Bahn AG, Berlin</w:t>
        <w:br/>
        <w:t>Potsdamer Platz 2</w:t>
        <w:br/>
        <w:t>10785 Berlin</w:t>
        <w:br/>
        <w:t>- Joined party -</w:t>
        <w:br/>
        <w:t>regarding the examination of a merger project pursuant to § 39 GWB, the 9th Decision Division decided on August 15, 2002:</w:t>
        <w:br/>
        <w:t>The merger project referred to the Federal Cartel Office by the Commission of the European Communities on April 25, 2002, pursuant to Article 9 of Council Regulation No. 4064/89, will not be prohibited.</w:t>
      </w:r>
    </w:p>
    <w:p>
      <w:r>
        <w:t>- 2 -</w:t>
        <w:br/>
        <w:t>Reasons:</w:t>
        <w:br/>
        <w:t>I. Course of the Proceedings and Involved Companies</w:t>
        <w:br/>
        <w:t>1. On March 7, 2002, Connex Verkehr GmbH (Connex), Frankfurt am Main, notified the Commission of the European Communities of its intention to acquire 51% of the shares in Deutsche Nahverkehrsgesellschaft mbH (DNVG), Hanover. At the request of the Federal Republic of Germany, the Commission of the European Communities referred the merger project to the Federal Cartel Office for examination and decision by letter dated April 24, 2002, pursuant to Article 9 of Council Regulation No. 4064/89. This referral decision was received by the Federal Cartel Office on April 25, 2002.</w:t>
        <w:br/>
        <w:t>2. By letter dated May 14, 2002, the Federal Cartel Office informed the parties involved in the proceedings, pursuant to § 40 paragraph 1 GWB, that the main examination procedure had been initiated. By letter dated August 12, 2002, in conjunction with a letter dated June 12, 2002, the merger parties made changes to the consortium agreement of DNVBVG and DNVG the subject of their notification, which eliminated all mutual non-competition clauses and obligations of consideration. In the main examination procedure, the Federal Cartel Office determined that the merger project does not give rise to the expectation of the creation or strengthening of a dominant market position.</w:t>
        <w:br/>
        <w:t>3. By letter dated April 30, 2002, Deutsche Bahn AG (DB AG) requested to be joined to the merger control procedure pursuant to § 54 paragraph 2 number 3 GWB. The parties involved in 1. and 2. were given the opportunity to comment on the request for joinder by letter dated May 23, 2002. They did so by letter dated May 29, 2002. By decision dated June 4, 2002, DB AG was joined to the procedure. By letter dated June 11, 2002, DB AG received a file excerpt free of business secrets for inspection. By letter dated June 7, 2002, the Federal Cartel Office transmitted a preliminary assessment of the merger project to DB AG and provided an opportunity for comment. DB AG's comments were received by the Federal Cartel Office on June 21, 2002.</w:t>
        <w:br/>
        <w:t>4. Connex belongs to the CGEA Connex SA group, which provides transport and disposal services. This group is part of the French Vivendi Universal group (Vivendi) through Vivendi Environnement SA. Vivendi, in turn, is a diversified corporation active in the fields of transport and disposal as well as in the media and entertainment industry. Vivendi generated revenues of approximately [...] € in 2000. Connex provides public passenger transport (ÖPNV) services in Germany under the Passenger Transport Act (PBefG) and local rail passenger transport (SPNV) based on the General Railway Act (AEG), as well as in freight transport. Through SVG Schaumburger Verkehrs-GmbH (SVG), in which Connex holds [...] % through Connex Stadtverkehr GmbH, Connex offers public transport services in the district of Schaumburg, near Hanover.</w:t>
        <w:br/>
        <w:t>5. DNVG is also active in the field of public transport based on the PBefG, specifically through two subsidiaries in Riesa. However, DNVG's own activities are limited to managing its investments in the public transport sector and participating in tenders for bus and tram lines as well as acquiring further stakes in transport companies operating in the public transport sector. DNVG's revenue amounted to [...] € in 2000. All shares of DNVG are currently held by Deutsche Nahverkehrs-Beteiligungs- und Verwaltungsgesellschaft mbH (DNVBVG). The sole purpose of DNVBVG is to hold and manage the shares in DNVG. DNVBVG does not hold any other investments and does not operate any business activities. The shares of DNVBVG are each held by a subsidiary of Stadtwerke Bonn GmbH (SWB), a subsidiary (LVB) of Leipziger Versorgungs- und Verkehrsbetriebe mbH (LVV), and üstra Hannoversche Verkehrsbetriebe AG, Hanover (üstra), each with 33.3%. These jointly control DNVBVG. The parent companies of SWB and LVB are the respective cities (Bonn and Leipzig), while the parent companies of üstra are the City of Hanover with [...] % and the Region of Hanover with [...] %. SWB, LVB, and üstra are municipal transport companies of the cities of Bonn, Leipzig, and Hanover. They primarily provide services in the field of public transport in their respective transport areas. SWB generated revenues of [...] € in 2000, the holding company of the City of Leipzig for public transport and disposal services generated revenues of [...] €, and the corresponding holding company of the City of Hanover generated revenues of [...] €.</w:t>
      </w:r>
    </w:p>
    <w:p>
      <w:r>
        <w:rPr>
          <w:b/>
        </w:rPr>
        <w:t>[Pages 4–6]</w:t>
      </w:r>
    </w:p>
    <w:p>
      <w:r>
        <w:t>- 4 -</w:t>
        <w:br/>
        <w:t>II. The Merger Project</w:t>
        <w:br/>
        <w:t>6. Connex intends to acquire joint control of DNVG together with DNVBVG. Although Connex plans to acquire 51% of the shares in DNVG, due to the contractual requirement of a 75% majority for decisions beyond normal business operations, this only results in joint control of DNVG together with the current sole shareholder, DNVBVG. The project fulfills the merger criteria of § 37 paragraph 1 number 2 GWB (acquisition of control) and § 37 number 3 sentence 1 lit. a GWB (acquisition of 50% of shares) as well as § 37 number 3 sentence 3 GWB (joint venture).</w:t>
        <w:br/>
        <w:t>III. Scope of the GWB</w:t>
        <w:br/>
        <w:t>7. The merger project, initially falling under the jurisdiction of the Commission of the European Communities, has been referred to the Federal Cartel Office for examination and decision by the Commission's decision of April 24, 2002 (COMP/M.2730 – Connex/DNVGVG/JV) (Article 9 of the Merger Regulation, §§ 39 paragraph 4 GWB).</w:t>
        <w:br/>
        <w:t>IV. Competitive Assessment</w:t>
        <w:br/>
        <w:t>1. Relevant Product Market</w:t>
        <w:br/>
        <w:t>8. The merger project affects the market for fixed-route public transport services (ÖPNV/SPNV). It can remain open whether the decision on market delineation should focus on the passenger or the public authority as the relevant market counterpart. The passenger is, on the one hand, the actual demander of transport services, but has no direct influence on the nature and extent of the transport offer; the public authority, while not a direct demander, can influence which transport companies operate in the passenger market through approval and active demand decisions within its jurisdiction. However, whether the focus is on the passenger or the public authority does not change the outcome of the market delineation in this case.</w:t>
      </w:r>
    </w:p>
    <w:p>
      <w:r>
        <w:t>- 5 -</w:t>
        <w:br/>
        <w:t>9. Motorized individual transport is not to be included in the market. It is rather a non-market effective form of self-provision of transport services. Taxi services are also not to be included in the market. From the passengers' perspective, there is no interchangeability between the services of ÖPNV/SPNV and taxi services due to the lack of flexibility regarding routes, stops, and departure times in the area of ÖPNV/SPNV, as well as the significantly higher fare for taxi transport. From the perspective of the public authority, neither motorized individual transport nor taxi services fulfill the legal obligation to ensure adequate service for the population in its jurisdiction with transport services.</w:t>
        <w:br/>
        <w:t>10. All modes of transport for scheduled services according to § 9 PBefG (trams, trolleybuses, motor vehicles) are to be assigned to a uniform relevant market. Any quality differences between the individual modes of transport are of such subordinate significance compared to the consistent transport characteristics (predetermined routes, fixed stops, and departure times) that they do not call into question the basic alternatives available to passengers. For the public authority, it also does not play a decisive role which mode of transport it uses to ensure adequate public transport services for the population in its area of responsibility. Once, as in the case under review, transport associations with a uniform fare structure exist, the use of all modes of transport at a uniform price is also possible. All modes of transport are thus summarized into a uniform overall service from the perspective of both the passenger and the public authority due to the existing transfer options.</w:t>
        <w:br/>
        <w:t>11. Regional transport within the scope of PBefG and urban transport form a uniform market. Although line networks in cities have a higher density of stops than regional transport in the broader area, this is merely a consequence of the differing population and settlement density and does not impair interchangeability from the perspective of the passenger or the public authority.</w:t>
        <w:br/>
        <w:t>12. Whether SPNV under the AEG and ÖPNV based on PBefG can be assigned to a uniform market can remain open in this case.</w:t>
      </w:r>
    </w:p>
    <w:p>
      <w:r>
        <w:t>- 6 -</w:t>
        <w:br/>
        <w:t>2. Geographically Relevant Market</w:t>
        <w:br/>
        <w:t>13. In its previous practice, the Federal Cartel Office considers regional markets when defining the market. This approach is also maintained in this case. From neither the perspective of the passenger nor the perspective of the public authority responsible for ensuring adequate public transport services for the population in its local jurisdiction are the transport services in the regionally limited area interchangeable with local transport services in other areas of Germany.</w:t>
        <w:br/>
        <w:t>14. A route-specific delineation is not appropriate. The central characteristic of local transport services is rather the provision of a network of lines, which only in their entirety ensure adequate public transport services from the perspective of the public authority. The demand of the passenger is also directed towards a network of lines, allowing them to use different lines within the network for their changing needs over time.</w:t>
        <w:br/>
        <w:t>15. In the present case, it is sufficient to refer to the area of the respective transport associations when specifying the geographical market. Whether the relevant regional markets should be delineated as larger or smaller than the area of the affected transport associations due to specific geographical, structural, or other circumstances does not need to be decided here. The merger project primarily affects the geographical markets in which DNVG or its parent companies provide transport services. These are the transport associations Rhein–Sieg, VRS (SWB), Greater Hanover Transport, GVH (üstra), and Central German Transport Association, MDV (LVV).</w:t>
        <w:br/>
        <w:t>3. Regarding the Emergence of a Dominant Market Position</w:t>
        <w:br/>
        <w:t>16. The parent companies of DNVG/DNVBVG have a strong position in their regional markets, which is not strengthened or secured by the merger. Therefore, it is not necessary to present this in detail.</w:t>
        <w:br/>
        <w:t>17. The merger does not lead to any additions in market shares. The structural connection between the merger participants is designed in such a way that</w:t>
      </w:r>
    </w:p>
    <w:p>
      <w:r>
        <w:rPr>
          <w:b/>
        </w:rPr>
        <w:t>[Pages 7–9]</w:t>
      </w:r>
    </w:p>
    <w:p>
      <w:r>
        <w:t>- 7 -</w:t>
        <w:br/>
        <w:t>it does not lead one to expect that in the future there would be no competition between them, thereby securing existing strong market positions.</w:t>
      </w:r>
    </w:p>
    <w:p>
      <w:r>
        <w:t>18. There are no overlaps in the areas of activity of Connex with any of the parent companies in any transport association area. In the VRS, Connex was still active at the beginning of the year, but only as a subcontractor (Alpina). Since [...] this contract has transitioned to RV Köln, and Connex is no longer active in the VRS.</w:t>
      </w:r>
    </w:p>
    <w:p>
      <w:r>
        <w:t>19. An overlap in the areas of activity of the merger participants in the Hanover area would only exist if one were to include the area of the district of Schaumburg (Stadthagen), which directly borders the GVH, in the geographical market. This consideration could be supported by the fact that the district town of Stadthagen is connected to the city of Hanover via the S-Bahn network operated by DB Regio. However, this does not need to be conclusively decided here, as even with the inclusion of the district of Schaumburg, the overlap in the areas of activity of Connex and üstra would not be a result of the merger project. The influence of üstra on DNVBVG and thus on DNVG is so weakly structured that attributing the market shares of Connex through DNVG would not be considered even after the implementation of the merger project.</w:t>
      </w:r>
    </w:p>
    <w:p>
      <w:r>
        <w:t>20. The strengthening of the structural connection between the parent companies of DNVBVG and Connex resulting from the merger does not secure the strong market position of the parent companies in their respective regional markets.</w:t>
      </w:r>
    </w:p>
    <w:p>
      <w:r>
        <w:t>21. There is an indirect corporate interconnection between Connex and üstra, which is somewhat strengthened by the merger project. Currently, the city of Hanover indirectly holds [...] % of üstra, with a further [...] % held by the Region of Hanover. The Region of Hanover also holds approximately [...] % of the shares in Regiobus, which in turn holds a [...] stake in SVG. The remaining [...] % of SVG is already held by Connex. This indirect connection between üstra and Connex through the shares held by the Region of Hanover in üstra and SVG is also somewhat strengthened by the merger project, as üstra is indirectly involved in DNVG through its 33% stake in DNVBVG, in which Connex intends to acquire the majority.</w:t>
      </w:r>
    </w:p>
    <w:p>
      <w:r>
        <w:t>- 8 -</w:t>
        <w:br/>
        <w:t>22. However, for the shareholders of DNVBVG, after the amendment of the consortium agreements of DNVG and DNVBVG, there is no legal possibility to prevent Connex from competing with them or DNVG. By letters dated June 12, 2002, and August 12, 2002, the merger participants made a series of amendments to the consortium agreements of DNVBVG and DNVG the subject of their notification. Accordingly, the following clauses have been deleted or modified without replacement: the non-competition clause in the consortium agreement of DNVBVG (including provisions on contractual penalties, residual effects, and arbitration clauses), the duty of consideration (including the declaration of intent in the preamble), and the competition restriction towards DNVBVG as well as Connex in the consortium agreement of DNVG. The articles of association of DNVG and DNVBVG are already drafted in such a way that a "blocking policy" by the municipal transport companies, which would lead to the elimination of competition between them or in relation to Connex, is not possible. The merger would even eliminate a previously existing blocking possibility: In the event of a dissent among the shareholders of DNVBVG, DNVG has so far been unable to act due to the lack of a shareholder resolution. Now, a dissent at the level of DNVBVG does not lead to an inability to act for DNVG; rather, the required majority would be secured by the votes of Connex. As a result, Connex remains legally free to participate in competitions for public transport and regional transport permits under the PBefG with independent offers, despite its involvement in DNVG. The shareholders of DNVBVG can now compete with each other as well as compete with Connex or DNVG.</w:t>
      </w:r>
    </w:p>
    <w:p>
      <w:r>
        <w:t>23. An indirect structural interconnection between Connex and Deutsche Bahn AG is not caused by the project. Originally, almost simultaneously with Connex's project to acquire a majority stake in DNVG, a merger project of DB AG had also been notified. DB AG intended to establish a joint venture with üstra, into which the transport services provided by these companies in the Hanover metropolitan area would have been integrated. The combination of the two merger projects would have significantly increased the risk of a structural market closure effect, at least for the area of GVH. All companies currently operating in this regional market would have been interconnected through shareholdings or joint ventures. If both merger projects had been realized, it would certainly have been expected that competitive initiatives by Connex - at least in the Hanover area - would have been suppressed, thereby structurally securing the dominant market position of DB AG in the regional transport sector. After the withdrawal of the notification by letters dated May 21 and June 3, 2002, it is no longer expected that such an effect will occur solely due to the merger notified here.</w:t>
      </w:r>
    </w:p>
    <w:p>
      <w:r>
        <w:t>24. Even if the removal of the potential competitor Connex were to lead to a deterioration in the three relevant regional markets, it must be considered on the other hand that DNVG is significantly better positioned by the merger with Connex to operate as a competitor in all other regional markets in Germany.</w:t>
      </w:r>
    </w:p>
    <w:p>
      <w:r>
        <w:t>V. Summary</w:t>
        <w:br/>
        <w:t>25. In light of the amended contractual clauses in the consortium agreements that have been made the subject of the notification and in light of the withdrawal of the merger notification of üstra and DB AG, the Federal Cartel Office has decided not to prohibit the notified merger project. This decision is issued pursuant to § 40 paragraph 2 sentence 1 GWB.</w:t>
      </w:r>
    </w:p>
    <w:p>
      <w:r>
        <w:rPr>
          <w:b/>
        </w:rPr>
        <w:t>[Pages 10–10]</w:t>
      </w:r>
    </w:p>
    <w:p>
      <w:r>
        <w:t>- 10 -</w:t>
        <w:br/>
        <w:t>Notice of Appeal</w:t>
      </w:r>
    </w:p>
    <w:p>
      <w:r>
        <w:t>An appeal against this decision is permissible.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The appeal must be substantiated. The deadline for substantiating the appeal is one month. It begins with the filing of the appeal and can be extended upon request by the presiding judge of the appellate court. The appeal substantiation must include a statement indicating the extent to which the decision is being contested and the modification or annulment being requested, as well as the facts and evidence on which the appeal is based. The appeal and the appeal substantiation must be signed by a lawyer admitted to a German court.</w:t>
      </w:r>
    </w:p>
    <w:p>
      <w:r>
        <w:t>Dr. Ruppelt Lorentschk Schulze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