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http://www.bundeskartellamt.de/SharedDocs/Entscheidung/DE/Fallberichte/Fusionskontrolle/2016/B9-50-16.pdf;jsessionid=99F2BF7C801CE145D2E954CA07A4302F.2_cid387?__blob=publicationFile&amp;v=2</w:t>
      </w:r>
    </w:p>
    <w:p>
      <w:r>
        <w:t>Pages translated : 3</w:t>
      </w:r>
    </w:p>
    <w:p/>
    <w:p>
      <w:r>
        <w:rPr>
          <w:b/>
        </w:rPr>
        <w:t>[Pages 1–3]</w:t>
      </w:r>
    </w:p>
    <w:p>
      <w:r>
        <w:t xml:space="preserve">Case Report 13 September 2016  </w:t>
        <w:br/>
        <w:t xml:space="preserve">Approval of the acquisition of the Transthermos Group by shareholders of the Nagel Group  </w:t>
        <w:br/>
        <w:t xml:space="preserve">Industry:  </w:t>
        <w:br/>
        <w:t xml:space="preserve">Frozen Logistics  </w:t>
        <w:br/>
        <w:t xml:space="preserve">File Number: B9 – 50/16  </w:t>
        <w:br/>
        <w:t>Date of Decision: 25 August 2016</w:t>
      </w:r>
    </w:p>
    <w:p>
      <w:r>
        <w:t>The Federal Cartel Office has approved the acquisition of the Transthermos Group by shareholders of the Nagel Group in the main examination procedure.</w:t>
      </w:r>
    </w:p>
    <w:p>
      <w:r>
        <w:t>The merger concerns the sector of frozen logistics (TK-Logistik). The acquirers are co-owners of the Nagel Group, Versmold, which is known in the market under the name Kraftverkehr Nagel and offers all types of services in food logistics. Under the name Eurocool Nagel, the Nagel Group is also active in the field of frozen logistics with storage, transport, and value-added services.</w:t>
      </w:r>
    </w:p>
    <w:p>
      <w:r>
        <w:t>The target companies (Transthermos Group, in particular Transthermos GmbH) are predominantly active in the field of frozen logistics and also offer storage, transport, and value-added services, primarily for frozen products. Transthermos is one of the two major nationwide providers in this area.</w:t>
      </w:r>
    </w:p>
    <w:p>
      <w:r>
        <w:t>Initial investigations, particularly among customers and competitors of the parties involved, indicated competitive issues that necessitated a more in-depth examination in a main review procedure. As a result, the Federal Cartel Office examined possible concerns regarding the merger under four aspects and concluded in each case that a significant restriction of essential competition is not to be expected. The competitive effects to the detriment of the parties were also examined even with a narrow market definition, namely in a national market for the nationwide provision of frozen logistics services. In this consideration, the supply to the system catering sector was not included in the product market. This was also limited to services of food logistics, meaning that services for the chemical or pharmaceutical industry, which also utilize frozen logistics services, were not taken into account. The precise delineation of the relevant market could be left open.</w:t>
      </w:r>
    </w:p>
    <w:p>
      <w:r>
        <w:t>Competitive concerns could also be excluded in the delineation of a market for consolidated cargo services within frozen logistics.</w:t>
      </w:r>
    </w:p>
    <w:p>
      <w:r>
        <w:t>Consolidated cargo transport involves piece goods that are combined into a consolidated load. Typically, consolidated cargo transport consists of several steps: initially, the piece goods are collected from the sender and brought to a first transshipment point (pre-carriage), where the goods are transshipped and loaded onto a larger truck. This truck transports the load to a second transshipment point (main carriage), from where the goods are then transported to the various recipients (on-carriage, distribution). A consolidated cargo network is required to provide such a service.</w:t>
      </w:r>
    </w:p>
    <w:p>
      <w:r>
        <w:t>The assessment of whether a significant impediment to effective competition is to be expected was ultimately conducted in four steps.</w:t>
      </w:r>
    </w:p>
    <w:p>
      <w:r>
        <w:t>Firstly, it was examined whether, as a result of the merger, a single market dominance or the emergence of other unilateral effects is to be expected, particularly whether a reduction in the number of significant providers from three to two is to be feared. However, this is countered by the strong market position of the competitor and market leader in nationwide frozen logistics, Nordfrost, as well as the relatively low significance of Nagel compared to the target company, meaning that nothing substantial will change in the market structure. Nagel and the target company are also not closest competitors, and there is no concern that a particularly competitive provider will be eliminated due to the merger. Finally, there continues to be fringe competition from other providers, including smaller nationwide or regional providers and companies that offer partial load transport. For some customers, there is the possibility to switch to wholesale solutions or to self-provision of logistics services, and there is also a certain competitive pressure from providers of logistics services for system catering. While the barriers to market entry are not low, they are surmountable in the medium term.</w:t>
      </w:r>
    </w:p>
    <w:p>
      <w:r>
        <w:t>Secondly, it was determined that the merger, even if the conditions for the oligopoly presumption are met, will not lead to a strengthening of a dominant oligopoly between the merged company and Nordfrost. Furthermore, no other coordinated effects are to be expected.</w:t>
      </w:r>
    </w:p>
    <w:p>
      <w:r>
        <w:t>Thirdly, the investigations revealed that the merged company will neither be able to nor have incentives to impair competition in the frozen logistics market through a coupling of fresh and frozen logistics services. It was established that many companies only offer fresh or only frozen products and therefore do not require a combined logistics service. Even where customers require both types of services, namely those of fresh and frozen logistics, they typically request both services separately. Moreover, joint transport poses handling difficulties and is more complicated, as different product groups to be transported require different temperatures. The combination of fresh and frozen logistics services does not necessarily lead to efficiency gains and is currently only requested by a few customers. In any case, it cannot be expected that the effects of a possible combined offering are so strong that they would lead to competitive concerns, especially since Nagel is also capable of offering a combined service without the merger.</w:t>
      </w:r>
    </w:p>
    <w:p>
      <w:r>
        <w:t>Finally, it was examined whether the merged company would gain preferential access to the freight space provided by transport companies and thus could hinder its competitors in obtaining the scarce resource of subcontractor services. The investigations revealed that the merged company will not be able to exert pressure on a sufficiently large number of carriers. Furthermore, the bundled purchasing of freight space by the merged company does not necessarily lead to incentives for a shielding strategy, as better utilization could also lead to a reduction in the demand for freight space.</w:t>
      </w:r>
    </w:p>
    <w:p>
      <w:r>
        <w:t>As a result, it could be established that the conditions for prohibition are not met.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