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https://www.bundeskartellamt.de/SharedDocs/Entscheidung/DE/Fallberichte/Fusionskontrolle/2020/B9-80-19.pdf?__blob=publicationFile&amp;v=2</w:t>
      </w:r>
    </w:p>
    <w:p>
      <w:r>
        <w:t>Pages translated : 5</w:t>
      </w:r>
    </w:p>
    <w:p/>
    <w:p>
      <w:r>
        <w:rPr>
          <w:b/>
        </w:rPr>
        <w:t>[Pages 1–3]</w:t>
      </w:r>
    </w:p>
    <w:p>
      <w:r>
        <w:t>1</w:t>
        <w:br/>
        <w:t>Case Report February 10, 2020</w:t>
        <w:br/>
        <w:t>Federal Cartel Office prohibits merger project Loomis/Ziemann</w:t>
        <w:br/>
        <w:t>Industry: Cash Services</w:t>
        <w:br/>
        <w:t>File Number: B9-80/19</w:t>
        <w:br/>
        <w:t>Date of Decision: December 17, 2019</w:t>
        <w:br/>
        <w:t>The Federal Cartel Office has prohibited the plan of the internationally active Swedish cash service provider Loomis AB to acquire all shares in the second-largest cash service provider in Germany, Ziemann Sicherheit Holding GmbH, Schallstadt. The plan would have led to a significant hindrance of competition in several highly concentrated regional markets for cash services. After the merger, only two companies would essentially have operated in the affected markets: Loomis/Ziemann and Prosegur. In contrast, smaller regional medium-sized competitors have very low market shares and are not considered viable options for many of the affected customers. The reduction in the number of significant competitors from three to two would have resulted in higher costs for the direct demanders of these services – predominantly trade and banks – as well as indirectly for consumers. The commitments offered by the companies were not suitable to alleviate the competitive concerns.</w:t>
      </w:r>
    </w:p>
    <w:p>
      <w:r>
        <w:t>The merger project concerns the market for cash services. This includes the transport of coins and banknotes to and from the customer, the processing of cash in a cash center, as well as the filling and maintenance of ATMs requested by credit institutions and financial institutions, including the execution and monitoring of fault management. A further distinction based on the type of demanders (trade or credit institutions, public sector) is not appropriate, as the providers of these services predominantly offer cash services for all customer groups. Not included in the relevant market are value transports or value logistics provided in the line business, as well as security and guarding services.</w:t>
      </w:r>
    </w:p>
    <w:p>
      <w:r>
        <w:t>2</w:t>
        <w:br/>
        <w:t>In terms of geographical scope, regional markets must be delineated. This is primarily supported by the fact that, from the perspective of the demanding companies, the need for cash services is still essentially met regionally, as they are predominantly active only regionally or locally. However, even those demanders who operate nationwide predominantly commission several service providers, each operating regionally, or service providers like Prosegur and the parties involved in the merger, who have a supra-regional offering with multiple locations. The supply side of the market also shows a strong regional focus. Providers of cash services can regularly offer these only within a certain radius around a location due to cost and working time considerations. A supra-regional offering is therefore only possible with the maintenance of several company locations.</w:t>
      </w:r>
    </w:p>
    <w:p>
      <w:r>
        <w:t>The investigations of the Office have confirmed the spatial market delineation established in previous proceedings, which delineates the market areas based on the region around a location where the target company generates the vast majority of its revenue, as robust. As a result of the investigations based on supply flows, the decision-making division has delineated separate geographical markets for Bremen, Bielefeld/Münster, Bochum, Cologne, and Koblenz, and examined the competitive conditions in these market areas in detail.</w:t>
      </w:r>
    </w:p>
    <w:p>
      <w:r>
        <w:t>However, the delineation of regional markets does not preclude that, in the context of the competitive assessment of a merger project, the market structures are considered in relation to the competitive situation in adjacent geographical markets. Depending on the route planning and location of the providers, there may be overlaps in the distribution areas. The competitive situation established by the investigations, with a reduction from essentially three to two providers, arose independently of the exact geographical market delineation. It was confirmed both in the postal code-specific analysis of service provision and in a location-based radius consideration or in the context of a supra-regional overall consideration of all areas affected by the merger in the west and northwest of Germany. This is accompanied by the fact that both regional and supra-regional structural criteria play an important role in the competitive position of providers of cash services.</w:t>
      </w:r>
    </w:p>
    <w:p>
      <w:r>
        <w:t>The provision of cash services in Germany is highly concentrated and characterized by a small group of providers. The Spanish company Prosegur claims to be the market leader in Germany with 31 branches evenly distributed across the country. The Swedish Loomis Group only entered the German market in 2018 through the acquisition of the cash and valuables transport division of Kötter Security and</w:t>
      </w:r>
    </w:p>
    <w:p>
      <w:r>
        <w:t>3</w:t>
        <w:br/>
        <w:t>offers cash services primarily in the west and northwest of Germany. Ziemann also offers cash services across Germany. These three companies account for approximately 80% of the revenues from cash services in Germany. The remaining approximately 20% is distributed among more than 30 smaller cash service providers with different regional focuses in Germany.</w:t>
      </w:r>
    </w:p>
    <w:p>
      <w:r>
        <w:t>The acquisition of Ziemann by Loomis under review here is part of an ongoing consolidation process and would be the second and a volume-wise decisive step in Loomis's market entry into Germany, which would enhance the company's existing resource strength with a spatial expansion and densification of its location and customer network across large parts of the federal territory.</w:t>
      </w:r>
    </w:p>
    <w:p>
      <w:r>
        <w:t>The exit of Ziemann as an independent provider of cash services and its acquisition by Loomis would, in the opinion of the Federal Cartel Office, lead to a significant deterioration of the already highly concentrated market structures in the five regional markets of Bremen, Bielefeld/Münster, Bochum, Cologne, and Koblenz. According to the investigation results, effective competition would be significantly hindered by the merger. This hindrance to effective competition arises from the changes in competitive conditions following the merger and an overall consideration of the structural criteria that shape the provision of cash services at both regional and supra-regional levels.</w:t>
      </w:r>
    </w:p>
    <w:p>
      <w:r>
        <w:t>The merger would lead to significant unilateral effects. In the opinion of the Federal Cartel Office, the de minimis market clause applied in the regional market of Koblenz, so that the prohibition was not based solely on the small market volume.</w:t>
      </w:r>
    </w:p>
    <w:p>
      <w:r>
        <w:t>Through the merger, not only would a significant competitive force be eliminated for the demanders in the affected market areas. This also significantly weakens the competitive pressure on the nationwide market leader, the competitively closely related Prosegur, as a serious competitor and an important alternative for its customers would be eliminated. The provider structure in the affected regional markets essentially narrows from three to two providers. The two market-leading providers after the merger account for an average of approximately 80% of the market volume. The market share gaps...</w:t>
      </w:r>
    </w:p>
    <w:p>
      <w:r>
        <w:rPr>
          <w:b/>
        </w:rPr>
        <w:t>[Pages 4–5]</w:t>
      </w:r>
    </w:p>
    <w:p>
      <w:r>
        <w:t>4</w:t>
      </w:r>
    </w:p>
    <w:p>
      <w:r>
        <w:t>The combined market shares of the companies with the following regional competitors in the affected regional markets range from just under 60 to over 85 percentage points. These regional competitors are not capable of effectively limiting the competitive scope of Loomis/Ziemann and Prosegur.</w:t>
      </w:r>
    </w:p>
    <w:p>
      <w:r>
        <w:t>According to the investigations, the customers' options for switching were already limited before the merger, and the business relationships are extremely stable. Price and terms competition for customers does not occur or only to a very limited extent. Only occasionally is there evidence of strategic purchasing behavior by customers to discipline the potential competitive leeway of the market leaders.</w:t>
      </w:r>
    </w:p>
    <w:p>
      <w:r>
        <w:t>For the forecast period of merger control, the Federal Cartel Office estimates the incentives for price increases or other deterioration of offerings after the merger to be high, especially since there have already been significant price increases prior to the merger. The competition-restricting effects are expected regardless of whether Loomis becomes the market leader in the affected regional markets with the transaction or merely catches up to the previous market leader Prosegur. Ultimately, there is concern that the competitive leeway of the two leading providers of cash services, Loomis/Ziemann and Prosegur, will no longer be sufficiently controlled by the remaining medium-sized competitors in the market after the merger. Rather, the merger would, according to the assessment of the Federal Cartel Office, increase the possibilities for further displacement of the remaining smaller competitors by the then only two leading providers.</w:t>
      </w:r>
    </w:p>
    <w:p>
      <w:r>
        <w:t>In response to the warning from the Federal Cartel Office, Loomis and Ziemann have repeatedly offered commitments that would have involved the divestiture of customer contracts and the associated infrastructure in the respective regional markets to at most one independent competitor each. In the final design of the commitments offered, the volume of these customer contracts would have largely offset the merger-related increase in purely mathematical terms. This would theoretically have provided the respective acquirer with a potential that could have enabled them to compensate for the declining competitive pressure resulting from the merger. However, it could not be ensured with sufficient probability that the affected customers would actually and sustainably switch to the respective potential acquirer. The market tests conducted regarding the commitments with customers and competitors were predominantly critical and confirmed the concerns of the Federal Cartel Office. Accordingly, there was concern that a significant portion of the surveyed customers would fundamentally not be willing to switch cash service providers. To the extent that customers signaled a general willingness to switch, many indicated that they would only consider switching to the market leader Prosegur. However, customer shifts to Prosegur would also have been considered harmful to competition according to the Federal Cartel Office. Therefore, the offered commitments would not have been able to prevent the significant hindrance to effective competition feared as a result of the merger.</w:t>
      </w:r>
    </w:p>
    <w:p>
      <w:r>
        <w:t>In the proceedings, the competitor Prosegur and the German Savings Banks and Giro Association were allowed to join. The review period was extended several times with the consent of the parties involved – particularly in connection with the submission of commitment offers and the necessary conduct of market tests in this regard.</w:t>
      </w:r>
    </w:p>
    <w:p>
      <w:r>
        <w:t>Ultimately, the project was to be prohibited for the reasons presented. Neither the parties to the merger nor the interveners have lodged an objection against this; the decision is thus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