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https://www.bundeskartellamt.de/SharedDocs/Entscheidung/DE/Fallberichte/Fusionskontrolle/2013/B9-92-13.pdf;jsessionid=FD1C779867F053297AC37A0C2521552F.1_cid387?__blob=publicationFile&amp;v=6</w:t>
      </w:r>
    </w:p>
    <w:p>
      <w:r>
        <w:t>Pages translated : 3</w:t>
      </w:r>
    </w:p>
    <w:p/>
    <w:p>
      <w:r>
        <w:rPr>
          <w:b/>
        </w:rPr>
        <w:t>[Pages 1–3]</w:t>
      </w:r>
    </w:p>
    <w:p>
      <w:r>
        <w:t xml:space="preserve">Case Report October 31, 2013  </w:t>
        <w:br/>
        <w:t xml:space="preserve">Approval of the Merger of Suppliers in the Aerospace Industry – Precision Castparts and Permaswage  </w:t>
        <w:br/>
        <w:t xml:space="preserve">Industry: Suppliers of the Aerospace Industry  </w:t>
        <w:br/>
        <w:t xml:space="preserve">File Number: B9-92/13  </w:t>
        <w:br/>
        <w:t xml:space="preserve">Date of Decision: October 23, 2013  </w:t>
        <w:br/>
        <w:t xml:space="preserve">The Federal Cartel Office has approved the acquisition of Permaswage Holding SAS (“Permaswage”), based in Les Clayes-sous-Bois, France, by Precision Castparts Corporation (“PCC”), Portland, USA, in the main review procedure. Despite partially high joint market shares, it is not expected that the merger will lead to a significant impediment to effective competition. In part, the project concerns de minimis markets that are exempt from prohibition. In the other affected markets, particularly due to the purchasing power of the highly concentrated aircraft industry and the high production switching flexibility, it is expected that PCC's scope for action will remain sufficiently competitively controlled even after the merger.  </w:t>
        <w:br/>
        <w:t xml:space="preserve">Permaswage and PCC are suppliers to the aerospace industry. The merger project concerns the manufacture and distribution of so-called fluid fittings, which are required for the fastening of piping systems in aircraft.  </w:t>
        <w:br/>
        <w:t xml:space="preserve">On the globally delineated market for the manufacture and distribution of fluid fittings, annual sales range between 200 and 300 million euros. Fluid fittings can generally be distinguished between fixed and removable fluid fittings. The differences between the product types lie in the respective shape of the end pieces – exclusively pressed ends for fixed fluid fittings and at least one screw thread for removable fluid fittings. The nature of the respective end pieces particularly affects the respective pressure resistance of the fluid fitting.  </w:t>
        <w:br/>
        <w:t>1 § 36 Abs. 1 S. 2 Nr. 2 Act Against Restraints of Competition (GWB)</w:t>
      </w:r>
    </w:p>
    <w:p>
      <w:r>
        <w:t xml:space="preserve">PCC and Permaswage each offer both types of fluid fittings, and PCC is the market leader following the acquisition of Permaswage, regardless of whether removable or fixed fluid fittings each constitute separate relevant markets or whether they form a single overall market.  </w:t>
        <w:br/>
        <w:t xml:space="preserve">According to the investigations of the Federal Cartel Office, the relevant market for fixed fluid fittings is a de minimis market, on which goods worth less than 15 million euros were sold in Germany in the last calendar year. Therefore, even if the combined entity's market shares on this worldwide relevant market are between 70-80%, and the market share gap to the next largest—and only significant—competitor is 50-60 percentage points, this market is exempt from prohibition.  </w:t>
        <w:br/>
        <w:t xml:space="preserve">The market for removable fluid fittings, however, is not a de minimis market. In this market, the parties achieve a joint market share of approximately 30-40%. The next largest competitors, Parker Hannifin and Aerofit (with market shares of approximately 25-30% each), as well as Alcoa and Allan Aircraft, are also active in the market as further potent competitors. Potential competition also comes from manufacturers of fixed fluid fittings, who can enter the market for removable fluid fittings at short notice due to high production switching flexibility.  </w:t>
        <w:br/>
        <w:t xml:space="preserve">In an overall market for fluid fittings, PCC and Permaswage are together market leaders with a market share of 45-55% after the merger, with significant market share advantages over their competitors. The next largest competitors, Parker Hannifin and Aerofit, achieve market shares of approximately 15-20% in this market. The remaining three competitors include internationally active large corporations such as Alcoa and Eaton, which supply the aircraft industry – like PCC – with a variety of products. Fluid fittings account for only a very small part of their sales.  </w:t>
        <w:br/>
        <w:t xml:space="preserve">However, the relatively high market shares and the market share gap provide only limited insight into the competitive scope of action of the parties in this case, as they primarily result from Permaswage's already strong position in fixed fluid fittings prior to the merger. The acquirer PCC is only minimally active in this product segment through a subsidiary. Accordingly, there are only minor overlaps here.  </w:t>
        <w:br/>
        <w:t>2 within the meaning of § 36 Abs. 1 S. 2 Nr. 2 GWB</w:t>
      </w:r>
    </w:p>
    <w:p>
      <w:r>
        <w:t xml:space="preserve">In addition to the parties, only Aerofit offers both fixed and removable fluid fittings. Alcoa and Parker Hannifin, as well as Allan Aircraft, currently only produce removable fluid fittings, and Eaton only produces fixed fluid fittings. These companies are thus only active in one segment of the assumed overall market. However, the very high production switching flexibility between the manufacture of fixed and removable fluid fittings (and vice versa) enables these competitors to attract market shares from the parties. The switch of production from removable to fixed fittings can occur relatively quickly and requires only minor investments in additional production technology.  </w:t>
        <w:br/>
        <w:t xml:space="preserve">Central to the resumption of production of fixed and/or removable fluid fittings are economic incentives from signals of the demand side indicating a desire to switch suppliers. The demand side is highly concentrated. Major customers of fluid fittings for aircraft are particularly the large aircraft manufacturers Airbus and Boeing. The qualification process that each manufacturer of fluid fittings must undergo for their products to meet the qualitative requirements of the demanding aircraft builders is crucial for the production and sale of fluid fittings. It therefore heavily depends on the purchasing behavior of the aircraft manufacturers whether, in which direction, and how quickly a manufacturer of fluid fittings can switch or expand its production. Since fluid fittings are typically procured by these large buyers not for a single aircraft but for an aircraft series, the awarding of contracts to another or new supplier of fluid fittings has a significant impact on the distribution of market shares. Currently, the margins achievable from the production and sale of fixed fluid fittings are in the lower to mid double-digit percentage range, making market entry potentially worthwhile. Furthermore, all market participants currently expect growth in the market volume for all fluid fittings within the next five years.  </w:t>
        <w:br/>
        <w:t>From the perspective of the surveyed customers, PCC and Permaswage are also not the closest competitors. Only in a few cases are customers supplied by both PCC and Permaswage, and in no case was one manufacturer rated as the best alternative to the other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