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http://www.bundeskartellamt.de/SharedDocs/Entscheidung/DE/Fallberichte/Fusionskontrolle/2017/B9-93-17.pdf?__blob=publicationFile&amp;v=2</w:t>
      </w:r>
    </w:p>
    <w:p>
      <w:r>
        <w:t>Pages translated : 3</w:t>
      </w:r>
    </w:p>
    <w:p/>
    <w:p>
      <w:r>
        <w:rPr>
          <w:b/>
        </w:rPr>
        <w:t>[Pages 1–3]</w:t>
      </w:r>
    </w:p>
    <w:p>
      <w:r>
        <w:t xml:space="preserve">Case Report September 26, 2017  </w:t>
        <w:br/>
        <w:t xml:space="preserve">Examination of a merger between the car rental companies Europcar and Buchbinder  </w:t>
        <w:br/>
        <w:t xml:space="preserve">Industry: Vehicle rental services  </w:t>
        <w:br/>
        <w:t xml:space="preserve">File number: B9 – 93/17  </w:t>
        <w:br/>
        <w:t>Date of decision: July 25, 2017</w:t>
      </w:r>
    </w:p>
    <w:p>
      <w:r>
        <w:t>The Federal Cartel Office has approved the acquisition of the companies of the Buchbinder Group ("Buchbinder") by Europcar S.A. ("Europcar") in the preliminary examination procedure. The investigations revealed that the merger does not lead to a significant impediment to effective competition.</w:t>
      </w:r>
    </w:p>
    <w:p>
      <w:r>
        <w:t>Europcar S.A. is the holding company of the Europcar Group, which offers vehicle rental services in the premium segment worldwide under the same name. Other brands of Europcar include "InterRent," "keddy," "Brunel," and "Ubeeqo." Worldwide, Europcar operates over 3,200 stations, of which over 500 are in Germany.</w:t>
      </w:r>
    </w:p>
    <w:p>
      <w:r>
        <w:t>Buchbinder is a vehicle rental company that offers its services to customers in Germany, Austria, Italy, Hungary, and Slovakia. In addition to its main brand of the same name, the target company operates under the low-cost brand "Global Rent a Car" (formerly "GlobalDrive"). In Germany, Buchbinder has 127 stations. Buchbinder is active in the rental of passenger cars and commercial vehicles to both business and private customers. The majority of rentals are for so-called "short-term rentals" with a rental duration of up to 27 days. Additionally, Buchbinder is involved in the sale of used cars.</w:t>
      </w:r>
    </w:p>
    <w:p>
      <w:r>
        <w:t>The provider structure in the field of vehicle rental services is very heterogeneous. In addition to the nationwide vehicle rental companies Europcar, Buchbinder, Sixt, Avis, and Hertz, there are numerous smaller companies with regional focuses. Generally, all providers offer both passenger cars and light commercial vehicles (such as vans or transporters); many rental companies also offer heavy commercial vehicles (such as trucks). Furthermore, independent companies of car manufacturers are also active in the vehicle rental sector.</w:t>
      </w:r>
    </w:p>
    <w:p>
      <w:r>
        <w:t>In the course of the case investigations, the Federal Cartel Office conducted extensive surveys of the competitors of the merging companies and interviewed numerous business customers through telephone interviews. Additionally, the Federal Cartel Office held discussions with various car manufacturers regarding the procurement options for vehicles for vehicle rental companies.</w:t>
      </w:r>
    </w:p>
    <w:p>
      <w:r>
        <w:t>How the markets are to be delineated in detail could be left open in the present case. Competitive problems are not expected even with a narrow market definition, as there are alternatives available to all customer groups and purposes. It was considered to restrict the relevant product market to one for passenger car rental on the one hand and commercial vehicle rental on the other. Furthermore, a differentiation between rentals to business and private customers was also considered. The area of rental of replacement vehicles for accidents could possibly be viewed separately; in this case, rental companies settle directly with the insurance companies. Further investigations have shown that offers in the area of car sharing are currently not to be attributed to vehicle rental services.</w:t>
      </w:r>
    </w:p>
    <w:p>
      <w:r>
        <w:t>In terms of geography, the Federal Cartel Office assumed nationwide markets. In almost all conceivable relevant product markets, the market shares of Europcar and Buchbinder after the merger are below 40% and thus below the presumption of market dominance. However, Buchbinder is very strongly represented in the rental of commercial vehicles from transporters/vans to trucks. After the merger, the combined market shares in this area are just over 40%. A significant competitor is Sixt SE, which was the market leader in almost all conceivable delineable markets before the merger and is now being replaced in this position by the merged company.</w:t>
      </w:r>
    </w:p>
    <w:p>
      <w:r>
        <w:t>The investigations have shown that no significant impediment to substantial competition is expected in any markets due to the merger. Both private and business customers can sufficiently switch to other vehicle rental companies. In addition to switching providers, business customers particularly consider the additional use of other providers to ensure good availability. The commissioning of vehicle rental companies by business customers usually occurs based on regular tenders from the companies. Both business and private customers have many alternatives available with Avis, Enterprise, Hertz, and Sixt. Private customers can also rely on a multitude of smaller regional rental companies. For the rental of commercial vehicles, business customers also consider regional providers depending on the use of the vehicles. In all conceivable relevant markets, the merger does not lead to the internalization of the best alternative.</w:t>
      </w:r>
    </w:p>
    <w:p>
      <w:r>
        <w:t>No competitive disadvantages are expected in the procurement markets either. Vehicle rentals can procure vehicles from car manufacturers through leasing as well as purchase with and without buy-back obligations, with leasing and purchase with buy-back obligations being associated with lower business risks. The Federal Cartel Office has investigated competitive concerns regarding the availability of vehicles concerning the lower-risk variants of leasing and purchase with buy-back obligations being restricted by manufacturers. However, according to the investigations of the Federal Cartel Office, there are no significant restrictions in this regard.</w:t>
      </w:r>
    </w:p>
    <w:p>
      <w:r>
        <w:t>Finally, the merger does not lead to competitive problems in the used car market for former rental vehicles.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