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http://www.bundeskartellamt.de/SharedDocs/Entscheidung/DE/Entscheidungen/Kartellverbot/2012/B9-96-09.pdf;jsessionid=1AF20E2F53C7763DD3B4247364C2574D.2_cid371?__blob=publicationFile&amp;v=4</w:t>
      </w:r>
    </w:p>
    <w:p>
      <w:r>
        <w:t>Pages translated : 21</w:t>
      </w:r>
    </w:p>
    <w:p/>
    <w:p>
      <w:r>
        <w:rPr>
          <w:b/>
        </w:rPr>
        <w:t>[Pages 1–3]</w:t>
      </w:r>
    </w:p>
    <w:p>
      <w:r>
        <w:t xml:space="preserve">9. Decision Division  </w:t>
        <w:br/>
        <w:t xml:space="preserve">B 9-96/09  </w:t>
        <w:br/>
        <w:t xml:space="preserve">- Version intended for the public -  </w:t>
        <w:br/>
        <w:t xml:space="preserve">Decision  </w:t>
        <w:br/>
        <w:t xml:space="preserve">In the administrative proceedings  </w:t>
        <w:br/>
        <w:t xml:space="preserve">against  </w:t>
        <w:br/>
        <w:t xml:space="preserve">Deutsche Lufthansa AG  </w:t>
        <w:br/>
        <w:t xml:space="preserve">Airport Area West  </w:t>
        <w:br/>
        <w:t xml:space="preserve">60546 Frankfurt/Main - Involved Party -  </w:t>
        <w:br/>
        <w:t xml:space="preserve">the 9th Decision Division of the Federal Cartel Office decided on December 17, 2012:  </w:t>
        <w:br/>
        <w:t xml:space="preserve">1. The commitments offered by the involved party in its written submission dated October 23, 2012, and reproduced in Section V of this decision, are binding for the involved party.  </w:t>
        <w:br/>
        <w:t xml:space="preserve">2. The proceedings against the involved party are terminated in accordance with § 32 b paragraph 1 sentence 2 GWB.  </w:t>
        <w:br/>
        <w:t>3. The fee for the proceedings, including this decision, amounts to [....] euros and is imposed on the involved party as joint debtor.</w:t>
      </w:r>
    </w:p>
    <w:p>
      <w:r>
        <w:t xml:space="preserve">- 2 -  </w:t>
        <w:br/>
        <w:t xml:space="preserve">Reasons  </w:t>
        <w:br/>
        <w:t xml:space="preserve">I. Facts  </w:t>
        <w:br/>
        <w:t xml:space="preserve">1. The Decision Division initiated proceedings in September 2009 pursuant to § 1, § 19 GWB, Art. 101, 102 TFEU against the involved party after various corporate customers of the involved party submitted complaints to the Federal Cartel Office. The background of these complaints was certain clauses in the corporate customer contracts of the involved party regarding the granting of discounts (incentives) for the utilization of flights by the corporate customers with the involved party. The present decision aims to ensure, through the commitments of the involved party, that as of April 1, 2013, no incentive corporate customer contract of the involved party contains clauses that require corporate customers to consent to the forwarding of sales data related to the utilization of flight services of the corporate customers with competitors of the involved party.  </w:t>
        <w:br/>
        <w:t xml:space="preserve">II. The Involved Party  </w:t>
        <w:br/>
        <w:t xml:space="preserve">2. The involved party is the largest German and European airline and is also considered one of the largest companies in civil aviation worldwide. According to its own statements, the involved party transported over 100 million passengers in 2011 and generated total revenues of approximately €28.7 billion. The share of passenger transport (passenger airline) amounts to €22.3 billion, which is about 78% of total revenue.1  </w:t>
        <w:br/>
        <w:t xml:space="preserve">3. The involved party is also the most important contractual partner for business customers regarding air travel within Germany, particularly for the utilization of continental and intercontinental flights from German airports.  </w:t>
        <w:br/>
        <w:t xml:space="preserve">4. In addition to its core business of passenger transport, the involved party is also active in other areas of air traffic (freight/logistics, technology, IT services, catering, as well as other services such as ground handling services or the offerings of the system service provider AirPlus). AirPlus Servicekarten GmbH – a 100% subsidiary of the involved party – is, according to the surveyed corporate customers, the largest provider of corporate credit cards in Germany.  </w:t>
        <w:br/>
        <w:t>1 Annual Report Deutsche Lufthansa AG, 2011.</w:t>
      </w:r>
    </w:p>
    <w:p>
      <w:r>
        <w:t xml:space="preserve">- 3 -  </w:t>
        <w:br/>
        <w:t xml:space="preserve">5. The Lufthansa Group includes, in addition to Lufthansa as the main company, the following airlines:  </w:t>
        <w:br/>
        <w:t xml:space="preserve">Lufthansa-CityLine with its regional airlines, Germanwings, Austrian Airlines, SWISS, and Brussels Airlines; as well as the following participations: 50% SunExpress, 19% JetBlue.  </w:t>
        <w:br/>
        <w:t xml:space="preserve">6. The involved party offers approximately 246 flight destinations worldwide through its two hubs in Frankfurt and Munich and is a member of the airline alliance Star Alliance, which maintains cooperations (networks) with a large number of international airlines.2  </w:t>
        <w:br/>
        <w:t xml:space="preserve">III. The Involved Party's "Data Tracking" Method  </w:t>
        <w:br/>
        <w:t xml:space="preserve">7. The involved party operates, among other things, a corporate customer program called PartnerPlus Progress3. As part of this corporate customer program, the involved party grants its corporate customers, upon reaching a certain minimum revenue from flights with the involved party, its subsidiaries CityLine and Germanwings, as well as certain "participating cooperation partners"4, special corporate discounts (corporate customer discounts) and sales rebates (both also: incentive services).  </w:t>
        <w:br/>
        <w:t xml:space="preserve">8. The corporate customer program is based on a framework agreement that contains the general terms and conditions and annually renegotiated customer-specific appendices to the framework agreement (hereinafter collectively referred to as the corporate customer contract). Participation in the corporate customer program is voluntary but forms the basis for possible incentive services from the involved party.  </w:t>
        <w:br/>
        <w:t xml:space="preserve">9. Corporate discounts are individually negotiated corporate customer discounts that the involved party establishes with the aim of achieving a certain minimum revenue (net flown revenue) with the customer.  </w:t>
        <w:br/>
        <w:t xml:space="preserve">2 Air Adria (Slovenia), Aegean (Greece), Air Canada, Air China, Air New Zealand, All Nippon Airways (Japan), Asiana Airlines (Korea), Austrian Airlines, Blue 1 (Finland), Brussels Airlines, Croatia Airlines, Egyptair, Ethiopian Airlines, LOT Polish Airlines, Scandinavian Airlines, Singapore Airlines, South African Airways, SWISS, TAM (Brazil), Thai Airways, Turkish Airlines, United Airlines, US Airways.  </w:t>
        <w:br/>
        <w:t xml:space="preserve">3 The corporate customer program mentioned here is aimed at corporate customers who receive travel benefits for the sales origin or travel commencement in Germany. In addition, there is another corporate customer program "PartnerPlusBenefit," which specifically targets smaller companies with lower flight volumes. The "Master Corporate Travel Agreement" (MCTA) is also aimed at corporate customers. This is a global contract that consolidates various sales origins.  </w:t>
        <w:br/>
        <w:t>4 These currently include the following airlines: Air Canada, All Nippon Airways, Austrian Airlines Group, Brussels Airlines, LOT Polish Airlines, Swiss, TAP Portugal, and United Airlines.</w:t>
      </w:r>
    </w:p>
    <w:p>
      <w:r>
        <w:rPr>
          <w:b/>
        </w:rPr>
        <w:t>[Pages 4–6]</w:t>
      </w:r>
    </w:p>
    <w:p>
      <w:r>
        <w:t>- 4 -</w:t>
        <w:br/>
        <w:t>granted in advance as a direct price advantage when booking a trip (Upfront-Incentives). As a result, the price is already lower at the time of booking than the normal, published rate. In addition, the participant grants sales rebates (Backend-Incentives) in the form of individually negotiated discounts for the utilization of certain volumes of flight services, either based on the total revenue of the utilized flight services (VolumePlus) or route-specific (JourneyPlus). These discounts are granted on the regular (published) rates and are negotiated in advance with the corporate customer but are only credited retrospectively (e.g., annually).</w:t>
        <w:br/>
        <w:t>10. For booking flights at the individually agreed corporate customer prices, the participant enables the travel agencies designated by the corporate customer or the travel departments established by the companies themselves in the computer reservation systems. These computer reservation systems (CRS) - predominantly Amadeus in Germany - are typically used in the travel industry and aggregate information about prices, availability, and booking options (among others) for flights from all airlines. The airlines provide all their flight data to the CRS, which then makes the data available to the travel agencies/travel departments for distribution.</w:t>
        <w:br/>
        <w:t>11. The payment processing for business trips is carried out via a (virtually) deposited corporate customer credit card at the travel agency/travel department for all airlines with which the customer has flown. The travel agency/travel department transmits the credit card data records with the sales data of the airlines for the billing of the flight services utilized by the corporate customers to the credit card issuer authorized by the airline (usually a financial institution).</w:t>
        <w:br/>
        <w:t>12. The participant has specified certain credit card companies in its corporate customer program that are authorized for the billing of flights based on the granted corporate discounts. With the billing through these credit cards, the so-called ticket short data record is generated, which forms the basis for the calculation of the Net Flown Revenues and thus for the granting of incentives by the participant. The ticket short data record includes the credit card number, the airline number, the ticket number, the sales month of the ticket, the airline that issued or operated the ticket, the specific flight route, the service class, the booking class, and the (reduced) price of the ticket (the Upfront rate or Corporate Discount).</w:t>
      </w:r>
    </w:p>
    <w:p>
      <w:r>
        <w:t>- 5 -</w:t>
        <w:br/>
        <w:t>13. The corporate customer participating in the corporate customer program must currently consent to the forwarding of sales data by the CRS for all tickets to the participant and authorize the credit card companies it has selected to provide "all credit cards of an organizational unit and all records of all flight coupons purchased with this credit card during the billing period"5 – regardless of the airline. This process is handled in the corporate customer program under the term "data tracking."</w:t>
        <w:br/>
        <w:t>14. Thus, the participant obligates its corporate customers not only to transmit sales data about flights with itself and its partner airlines but also to agree to the transmission of all sales data about flights with its competitors. According to the participant, this is necessary for the corporate customers to receive the maximum possible discount.</w:t>
        <w:br/>
        <w:t>15. The investigations of the decision division have shown that the granting of corporate customer incentives in contracts with other airlines is quite common. However, corporate customers have indicated that they do not know of any other airline that ties the granting of incentives to the disclosure of all sales data. The standard corporate customer contracts commonly used in the industry with other airlines stipulate that corporate customers only provide sales data to the respective airlines and, if applicable, to their partner airlines ex post for the calculation of incentives.</w:t>
        <w:br/>
        <w:t>16. Since the transmission of all sales data to the participant is a prerequisite for participation in the participant's corporate customer program, corporate customers have concerns, among other things, because they fear violating the principle of confidentiality in competition with their other contractual partners (the competitors of the participant). Just as the participant does in its corporate customer contracts6, most airlines require their corporate customers to maintain strict confidentiality regarding these agreements with third parties concerning the granting of incentives. Due to the market position of the participant and its well-developed flight network, corporate customers also believe they cannot forgo the participant's offerings. Furthermore, corporate customers expressed to the decision division their concern that the participant could draw conclusions about the travel habits, travel destinations, and especially the occupancy and prices of competitors based on the complete transparency of the travel profile of the respective company.</w:t>
        <w:br/>
        <w:t>IV. Consent of Corporate Customers to Forward Their Booking Data from Computer Reservation Systems to the Participant (MIDT Data)</w:t>
        <w:br/>
        <w:t>17. Outside of the described data tracking, the participant has also been requesting from its corporate customers the provision of sales data generated during the collaboration of the corporate customer travel departments with a computer reservation system since 2010.</w:t>
        <w:br/>
        <w:t>18. Companies typically engage one or more travel agencies for booking their business trips or establish in-house travel departments (also called implants). When business trips are booked through a CRS, these travel agencies enter into a contract with the CRS (usually Amadeus in Germany). This allows the travel agency to view and book all flight offers from airlines for its corporate customers or their employees through this system. Each participant (each travel agency/implant) receives a so-called terminal or office ID as access authorization to the CRS, through which all respective business trips are booked and processed. A significant portion of all reservations in air traffic is processed through CRS.</w:t>
        <w:br/>
        <w:t>19. The participant requires in its corporate customer program (framework agreement 2012, § 10.2) its corporate customers, who possess an office ID and can thus book their business trips through Amadeus, to "[...] conclude an agreement with the CRS (here: Amadeus), whereby the CRS is authorized to transmit MIDT data in aggregated form to Lufthansa on a monthly basis. The company demonstrates such an agreement upon request to Lufthansa. MIDT data includes only general booking information: this information consists of reservation data – in total (aggregated) per booking terminal in the travel agency – for booked airlines, booked flight routes, number of booked passengers, and booked classes of transportation. MIDT data does not contain any individual personal data."7</w:t>
        <w:br/>
        <w:t>6 PartnerPlus Progress Corporate Incentive Agreement, § 11.</w:t>
        <w:br/>
        <w:t>7 Furthermore, MIDT data does not contain any information about the respective flight price.</w:t>
      </w:r>
    </w:p>
    <w:p>
      <w:r>
        <w:rPr>
          <w:b/>
        </w:rPr>
        <w:t>[Pages 7–9]</w:t>
      </w:r>
    </w:p>
    <w:p>
      <w:r>
        <w:t>- 7 -</w:t>
        <w:br/>
        <w:t>20. The CRS operate a business in addition to their booking activities that involves the sale of these MIDT data (Marketing Information Data Tapes), particularly to airlines as users of the CRS. They generate this data from the bookings processed through their system. The MIDT data offered for sale provides a very detailed insight into the booking data of all airlines.8</w:t>
        <w:br/>
        <w:t>21. The activities of the CRS are regulated in the European Union by Regulation (EC) No. 80/2009 on a code of conduct regarding computer reservation systems. According to this code of conduct, MIDT data can generally be transmitted by CRS operators to airlines in a non-discriminatory manner and in aggregated form. It is stipulated that MIDT data within the Community must not contain any direct or indirect information regarding the identity of the holder of an Office ID, i.e., the travel agency or corporate customer.9 The regulation does not impose any restrictions regarding the level of detail of the transmitted competitor data. The regulation does not affect Articles 101 and 102 TFEU.10</w:t>
        <w:br/>
        <w:t>22. The participant has argued that a comprehensive collection of flight data from all airlines is of significant importance for the continuous improvement of its flight offerings. According to the participant, these data are used by airlines for strategic network planning and market analysis. Overall, the MIDT data are also suitable for further developing the respective network planning and flight schedule offerings for corporate customers.</w:t>
        <w:br/>
        <w:t>23. In this context, the corporate customers contended that the aforementioned obligations would allow for the identification of the corporate customer, at least in cases where the corporate customer maintains an in-house travel agency. In this respect, the participant would then receive detailed information about the booking behavior of this in-house travel agency. With this knowledge, the participant could strategically influence the corporate customers during monitoring discussions regarding the negotiation of discounts to fly certain routes with the participant rather than, as previously, with a competitor.</w:t>
        <w:br/>
        <w:t>8 For example, these booking data can be processed by the CRS according to the so-called "Point of Booking" (which can be "masked"), by traffic areas (Germany, Europe, Asia), or by flight destinations (Zurich, Geneva, Basel).</w:t>
        <w:br/>
        <w:t>9 OJ L 35/47, Regulation (EC) No. 80/2009 of the European Parliament and of the Council of January 14, 2009, on a code of conduct regarding computer reservation systems; here Article 7(3) of Regulation 80/2009.</w:t>
        <w:br/>
        <w:t>10 Recital 20 of Regulation 80/2009.</w:t>
      </w:r>
    </w:p>
    <w:p>
      <w:r>
        <w:t>- 8 -</w:t>
        <w:br/>
        <w:t>V. Previous Course of Proceedings</w:t>
        <w:br/>
        <w:t>24. Between July 2008 and May 2010, the decision division received several complaints from corporate customers of the parties involved, including from the Verband Deutsches Reisemanagement eV (VDR), which represents over 520 member companies of all industries and sizes, as well as public service institutions in the business travel sector. The subject of the complaints was data tracking and the required consent for the forwarding of booking data from the respective CRS used.</w:t>
        <w:br/>
        <w:t>25. By letter dated September 2, 2009, the decision division informed the party involved of the allegations made against it by its corporate customers and notified it that this behavior might constitute a violation of the provisions of the Act Against Restraints of Competition (GWB).</w:t>
        <w:br/>
        <w:t>26. By written submissions dated September 17, 2009, October 15, 2009, and during a meeting at the Bundeskartellamt on September 22, 2009, the party involved attempted to refute the allegations made against it.</w:t>
        <w:br/>
        <w:t>27. After further examination of the facts, the decision division informed the party involved by letter dated October 22, 2010, that the corporate customer contract contains clauses that may violate §§ 1, 19 GWB/Articles 101, 102 TFEU and that the decision division intends to initiate proceedings, possibly a fine proceeding, against the party involved. The party involved was simultaneously given the opportunity to respond to the now-specified concerns of the decision division.</w:t>
        <w:br/>
        <w:t>28. By letter dated November 22, 2010, the party involved again rejected the concerns of the decision division. Access to all sales data was in the interest of its corporate customers, as it would positively influence the amount of sales rebates. At that time, the party involved did not intend to make any corresponding changes to the contractual clauses of the corporate customer contract.</w:t>
        <w:br/>
        <w:t>29. The decision division then conducted a survey of 47 selected corporate customers of the party involved (including the largest flight customers of the party involved) by letter dated March 25, 2011, of which 43 companies returned the completed questionnaire. Almost 90% of the respondents stated that they did not agree to the transfer of all data to Lufthansa. More than 95% indicated that this would also violate confidentiality clauses in their contracts with third-party airlines. Over 80% of the surveyed corporate customers stated that they relied on the flight offerings of the party involved – in the long term, there was no real alternative to the extensive and closely networked flight offerings of the Lufthansa Group. Since a corporate customer contract with incentive benefits could not be concluded without the transfer of all flight data, the companies would have to forgo substantial rebates overall. In this respect, more than 70% of the respondents indicated that they felt almost "coerced" to accept these clauses, which presumably violate antitrust law. The decision division informed the party involved about the results of its survey.</w:t>
        <w:br/>
        <w:t>30. By letter dated August 16, 2011, the party involved informed the decision division that it was now willing to amend the clauses of the corporate customer contract in question. It presented a draft to the decision division, which provided the corporate customer with a choice regarding the design of the incentives for its flight purchases with the party involved. In this model, the customer should be able to freely decide whether to provide the party involved with all sales data or not. The fundamental participation in the corporate customer program would no longer depend on the data transfer. However, certain incentives – the rebates for the utilization of certain volumes of flight services – would still only be granted if all sales data were provided.</w:t>
        <w:br/>
        <w:t>31. A further inquiry by the decision division to corporate customers by letter dated October 27, 2011, revealed that the proposed changes by the party involved did not represent a real choice for the majority of the surveyed corporate customers, as the customers would still have to accept significant financial disadvantages if they did not provide the party involved with the complete sales data. This result was also communicated to the party involved.</w:t>
        <w:br/>
        <w:t>32. In August 2012, the decision division investigated the practices of the computer reservation system Amadeus regarding the collection and processing of corporate customer data as well as their transfer to the party involved.</w:t>
        <w:br/>
        <w:t>33. Further negotiations and discussions with the party involved ultimately led to the party involved submitting the following commitments to the decision division by letter dated October 23, 2012:</w:t>
        <w:br/>
        <w:t>34. (1.) "No later than April 1, 2013, Deutsche Lufthansa AG ("Lufthansa") will not condition the conclusion of corporate customer or travel agency contracts on the requirement that the corporate customer or travel agency provide Lufthansa (or companies of the Lufthansa Group) with competitively sensitive information about competitors of Lufthansa.</w:t>
      </w:r>
    </w:p>
    <w:p>
      <w:r>
        <w:rPr>
          <w:b/>
        </w:rPr>
        <w:t>[Pages 10–12]</w:t>
      </w:r>
    </w:p>
    <w:p>
      <w:r>
        <w:t>- 10 -</w:t>
        <w:br/>
        <w:t>transmitted. Excluded from this are information about the partner airlines participating in the respective corporate customer contract, which are necessary for the execution of the corporate customer contract.</w:t>
        <w:br/>
        <w:t>(2.) Furthermore, Lufthansa will inform all existing and new corporate customers about its understanding of Section 10.2 of the PartnerPlus Progress corporate agreement, particularly that this clause does not aim to unmask the corporate customer in the MIDT data."</w:t>
        <w:br/>
        <w:t>35. The decision division provided the party involved with an opportunity to comment on this order by letter dated December 7, 2012, prior to the issuance of this decision.</w:t>
        <w:br/>
        <w:t>36. On November 8, 2012, the decision division informed the Commission in accordance with Article 11(4) of Regulation 1/2003 and sent a draft of this decision.</w:t>
        <w:br/>
        <w:t>VI. Legal Assessment</w:t>
        <w:br/>
        <w:t>37. The behaviors of the parties described in III. and IV. of this decision may violate §§ 1, 19, 20 GWB, Articles 101, 102 TFEU. However, the commitments are suitable to address the concerns communicated to the party by the decision division to the extent that the decision division, in the exercise of its discretionary powers, declares the commitments binding and terminates the proceedings against the party, subject to its powers contained in § 32b(2) GWB. The view of the decision division is based on the considerations presented below.</w:t>
        <w:br/>
        <w:t>1. Substantive and Geographical Market Definition</w:t>
        <w:br/>
        <w:t>38. The corporate customer contracts relevant here concern flight services of the parties involved and their cooperation partners. The party offers these contracts only to companies based in the Federal Republic of Germany.</w:t>
        <w:br/>
        <w:t>39. In the relevant market for flight services, the decision division has distinguished between domestic scheduled traffic, flights to neighboring European countries, and international air traffic in previous proceedings.11 Furthermore, the decision division – as does the European Commission in its consistent practice – distinguishes between time-sensitive business travelers and non-time-sensitive leisure travelers.12 Finally, the decision division assumes a unified substantive market for scheduled and charter services.13 The party is active in all these markets.</w:t>
        <w:br/>
        <w:t>40. In terms of geographical market definition, the decision division – like the European Commission – adopts a dual approach, conducting both an individual assessment and a comprehensive assessment of the complete flight offerings of the involved companies and competitors from the departure point in Germany to various destination regions.20 An individual route assessment can be set aside in this proceeding, as the demand from various corporate customers may relate to all destinations that the party offers from German airports.</w:t>
        <w:br/>
        <w:t>41. In this respect, the agreements of the corporate customer contract of the party concern competition in the markets for</w:t>
        <w:br/>
        <w:t>domestic scheduled traffic,</w:t>
        <w:br/>
        <w:t>flights to neighboring European countries, and</w:t>
        <w:br/>
        <w:t>international air traffic,</w:t>
        <w:br/>
        <w:t>specifically for time-sensitive business travelers and departing from German airports.</w:t>
        <w:br/>
        <w:t>2. Market Position of the Party</w:t>
        <w:br/>
        <w:t>42. Even without a detailed market survey, the decision division provisionally assumes that the party is dominant in several or even all of the defined markets. For the purposes of this decision, this is largely derived from publicly available sources. The party is, by passenger numbers, the leading German airline, as well as the leading European airline, and ranks fourth worldwide.14 It is a member of the Star Alliance (the largest international airline alliance with currently 27 member companies), offers flights to 246 destinations, and transported a total of 100.6 million passengers in 2011.15 The party has, not least since the acquisition of several European airlines (Brussels Airlines, SWISS, Austrian Airlines), become the sole provider of flight services on certain routes from Germany to the home countries of these subsidiaries (e.g., on the route Frankfurt-Brussels). Even within Germany, such as on the routes Hamburg-Frankfurt16 and Munich-Frankfurt, it is the sole provider. The most significant competitor in Germany, albeit with a large gap, is the airline Air Berlin, which transported 35.3 million passengers worldwide in 2011.17 The business model of Air Berlin, unlike that of the party, is predominantly focused on the tourism sector, i.e., on non-time-sensitive passengers. In this respect, the party's share in the business travel sector relevant here (time-sensitive passengers) is significantly larger in relation to Air Berlin than the total passenger numbers might suggest. A large portion of the surveyed corporate customers indicated that they use the party's flight offerings or those of its partner airlines for over 50% of their business air travel annually. Over 80% of the surveyed corporate customers stated that they rely on the party's flight offerings – in the long term, there is no real alternative to the extensive and well-connected flight offerings of the Lufthansa Group.</w:t>
        <w:br/>
        <w:t>43. The party will also remain the strongest airline for flight offerings from Germany in the future, as it will face only limited competitive pressure from new entrants. While the party is indeed exposed to competition on certain flight routes from Germany, carriers from the Gulf States (Etihad, Emirates, Qatar Airways) are entering the European and also the German market with attractive offers. However, a comparable market position to that of the party is hindered, on the one hand, by traffic rights (take-off and landing rights in a member state), which are negotiated between the member states of the Union and third countries and which are regularly restricted for third-country carriers. On the other hand, the limited slots (take-off and landing times) at the heavily frequented hubs of the party also prevent the entry of new providers or the growth of existing competitors.</w:t>
        <w:br/>
        <w:t>3. Interstate Trade</w:t>
        <w:br/>
        <w:t>44. The contested behavior of the party is capable of significantly affecting interstate trade. This is already evident from the fact that the corporate customer program of the party significantly involves flights to neighboring European countries and that the party is the largest European airline. Due to this capability to significantly affect trade between member states, Articles 101, 102 TFEU are applicable.</w:t>
        <w:br/>
        <w:t>16 Until October 2011, Air Berlin operated on this route.</w:t>
        <w:br/>
        <w:t>17 See http://www.airberlingroup.com/de/ueber-airberlin/airberlin-group</w:t>
      </w:r>
    </w:p>
    <w:p>
      <w:r>
        <w:rPr>
          <w:b/>
        </w:rPr>
        <w:t>[Pages 13–15]</w:t>
      </w:r>
    </w:p>
    <w:p>
      <w:r>
        <w:t>- 13 -</w:t>
        <w:br/>
        <w:t>4. Possible Violation of § 1 GWB/Art. 101 TFEU due to Data Tracking</w:t>
        <w:br/>
        <w:t>45. The decision division has determined based on its investigations that the contested clauses in the corporate customer contracts concluded by the participant with corporate customers may constitute a violation of § 1 GWB / Art. 101 TFEU.</w:t>
        <w:br/>
        <w:t>46. The corporate customer contracts – and thus also the contested clauses – are agreements between companies. The term "agreement" as defined in § 1 GWB / Art. 101 TFEU also includes vertical agreements as well as model contracts and general terms and conditions that have been pre-formulated by one contracting party, as well as contracts that an economically significant contracting partner has imposed on an economically dependent contracting partner.18</w:t>
        <w:br/>
        <w:t>47. The preceding presentation under III. of this decision suggests that the contested clauses not only cause a restriction of competition in the markets delineated in paragraph 40, where the participant and other airlines operate, but also aim to do so. The participant has argued during the proceedings that the contested clauses are necessary for a continuous improvement of its flight offerings and for an accurate calculation of all incentives contractually owed to the corporate customer. Thus, a restriction of competition is not intended. However, it must be taken into account that the contracting partners of the participant are specifically required to also transmit sales data regarding their flights with competitors of the participant to the participant. This gives the participant insight into competition-sensitive data of its competitors. With knowledge of the customer-specific conditions of its competitors, the participant can strategically undercut these with individual corporate customers. However, for the purposes of this decision, it may remain open whether the behavior of the participant constitutes an intended restriction of competition, as it is in any case being caused.</w:t>
        <w:br/>
        <w:t>48. The transmission of all sales data of the corporate customers to the participant results in a noticeable restriction of competition. This initially occurs at the level of providers of flight services from Germany – so to speak "inter partes."19 Competition-restricting effects of an agreement can occur not only between the participants of the agreement but also with respect to the economic opportunities of third parties. The data transmitted to the participant as part of the data tracking enables the participant to distort competition on certain routes through short-term and targeted measures at the level of its immediate competitors. A distortion of competition is assumed in cases where market conditions are artificially changed without restricting one's own ability to act, thereby reducing the intensity of competition.20 This definition precisely fits the situation at hand. Because through the data addressed here, the participant gains unfiltered market transparency regarding the pricing and conditions set by its competitors towards their business customers. Due to the market transparency obtained through the contractual agreements with its customers, the participant can influence competitive conditions, for example, by strategically undercutting discounts and conditions offered by its competitors, which would not be possible under normal competitive conditions, i.e., without knowledge of these discounts and conditions, without a higher risk. For without this knowledge, the participant would have to direct significantly less specific price reductions to a multitude of potential customers for competitive advancement.</w:t>
        <w:br/>
        <w:t>49. The agreements (clauses) of the corporate customer contract also restrict the economic ability of the contracting partners of the participant, namely the corporate customers, in relation to third-party airlines and the participant itself. The corporate customer contract (framework agreement) required the transmission of complete sales data until March 31, 2012. In the version valid from April 1, 2012, the participant continues to demand the disclosure of all sales data for a relevant part of the total incentives granted in the appendices to the framework agreement. This continues to prompt the corporate customers to provide the participant with data that is subject to contractual agreements between the corporate customers and third-party airlines – the competitors of the participant. The surveyed corporate customers indicated that their contracts with third-party airlines contained confidentiality agreements and that the corporate customers would violate these clauses by complying with the participant's demand for disclosure of all sales data or would have to forgo participation in the participant's corporate customer program and thus discounts of significant magnitude. Furthermore, the participant gains complete transparency over the travel profile of each corporate customer through access to the data, allowing it to draw conclusions about the travel habits and destinations of the corporate customer and about the occupancy and prices of its competitors. This shifts the negotiation possibilities of the corporate customers unilaterally to the detriment of the participant. For example, the participant can, with knowledge of the aforementioned data, change the minimum revenues for certain discount levels in such a way that flights with competitors of the participant are no longer or hardly worthwhile for the corporate customer.</w:t>
        <w:br/>
        <w:t>50. The restriction of competition is also noticeable in quantitative terms given the market position of the participant in the affected markets.21 This market position clearly exceeds the thresholds of noticeability established in jurisprudence and administrative practice.</w:t>
        <w:br/>
        <w:t>51. According to the preliminary view of the decision division, it is not apparent that the contested clauses meet the exemption requirements under § 2 GWB / Art. 101 para. 3 TFEU. In particular, less competition-restrictive methods can be applied to improve the flight offerings and to accurately calculate the contractually agreed incentives, so that the contested clauses are in any case not essential to achieve competition-neutral purposes of the agreement. In light of the commitments submitted by the participant, however, the exemption capability of the contested clauses may remain open.</w:t>
        <w:br/>
        <w:t>5. Possible Restriction of Competition through Consent to Forward CRS Booking Data to the Participant</w:t>
        <w:br/>
        <w:t>52. The contractual clauses requiring corporate customers to consent to the forwarding of booking data (MIDT data) from the CRS to the participant for the conclusion of a corporate customer contract may constitute a violation of § 1 GWB/Art. 101 TFEU if they aim to or result in a restriction of competition.</w:t>
        <w:br/>
        <w:t>53. In this context, the corporate customers expressed to the decision division their concern that the participant, based on such access to information through the respective office ID in the MIDT data, would be able to identify the individual corporate customer and thus also its booking behavior. They felt defenseless against the participant regarding data transfer at this point. For with this knowledge, the participant could, in the context of monitoring discussions,</w:t>
      </w:r>
    </w:p>
    <w:p>
      <w:r>
        <w:rPr>
          <w:b/>
        </w:rPr>
        <w:t>[Pages 16–18]</w:t>
      </w:r>
    </w:p>
    <w:p>
      <w:r>
        <w:t>- 16 -</w:t>
        <w:br/>
        <w:t>to negotiate the granting of discounts, specifically influencing corporate customers to fly certain routes with Lufthansa rather than with a competitor as before.</w:t>
        <w:br/>
        <w:t>54. However, the investigations of the decision division at the computer reservation system Amadeus have revealed that the obligation of corporate customers regarding the forwarding of MIDT data does not provide any indications of a violation of the provisions of Regulation (EC) 80/2009 and is otherwise practiced in this form by all airlines worldwide.</w:t>
        <w:br/>
        <w:t>55. The investigations of the decision division further revealed that the corporate travel agency must agree to the forwarding of aggregated MIDT data to airlines at the time of contracting with the CRS. The corresponding clause in the general terms and conditions of Amadeus reads as follows:</w:t>
        <w:br/>
        <w:t>Clause 23.5: "The participant (the corporate travel agency) agrees that Amadeus Germany ... may use data from the use of the Amadeus system, which may also contain direct or indirect indications of the identity of the user, in marketing, booking, and sales data (MIDT). The participant (the corporate travel agency) may revoke this consent in writing at any time with a notice period of 4 weeks to the end of the month."</w:t>
        <w:br/>
        <w:t>56. According to Amadeus, such a revocation results in the data that "may contain direct or indirect indications of the identity of the user" being forwarded in masked form or pooled under an anonymized office ID to the airlines. From these explanations, it is evident that a contractual partner of Amadeus cannot fundamentally oppose the forwarding of data to airlines. However, a contractual partner has the option to insist on the anonymization of their data. Thus, it is within the sphere of the contractual partner, in this case, the corporate travel agency, to ensure the anonymization of their data.</w:t>
        <w:br/>
        <w:t>57. The participant has stated that its aim with the contested clause is solely to ensure that the booking data of the corporate travel agency is generally included in the data processing by the CRS. It is not its intention to obtain data on a per corporate travel agency basis. Against this background, the obligation of corporate customers to conclude a "data forwarding agreement," as the participant provides in Clause 10.2 of the corporate agreement, appears at least misleading. The participant therefore expresses its commitment to clarify to all corporate customers that this obligation does not contain a request for the demasking of the MIDT data and is intended solely to ensure that the participant can acquire this data from Amadeus in the form required by the EU Code of Conduct.22 The responsibility for ensuring that this data is "masked" or anonymized at Amadeus lies with the respective corporate customer or the travel agency commissioned by them.</w:t>
        <w:br/>
        <w:t>6. Possible Violation of § 19 Abs. 4 Sentence 1 GWB/Art 102 TFEU through Data Tracking</w:t>
        <w:br/>
        <w:t>58. The preceding presentation suggests that the participant is the addressee of § 19 GWB / Art. 102 TFEU. The contested clauses may represent abusive behavior within the meaning of the aforementioned norms.</w:t>
        <w:br/>
        <w:t>59. An abuse according to § 19 Abs. 4 No. 1 GWB occurs particularly when a dominant market company, as a provider of certain services, impairs the competitive opportunities of other companies in a manner that is significant for competition in the market without an objectively justified reason. According to Art. 102 Sentence 2 lit a TFEU, an abuse may consist particularly in the direct or indirect coercion of unreasonable purchasing or selling prices or other business conditions.</w:t>
        <w:br/>
        <w:t>60. As already stated in point V.4, competition in the affected markets can be significantly impaired by the participant's access to the sales data of its competitors. No objective justification for this behavior is apparent from the findings of the decision division.</w:t>
        <w:br/>
        <w:t>61. In particular, the fact that the disclosure of all sales data has been made a condition for participation in the corporate customer program by the participant leads to the presumption of abuse of a dominant position. As already presented above in point 15, there are indeed other ways to achieve a "complete" capture of the net flown revenues of corporate customers.</w:t>
        <w:br/>
        <w:t>62. As a result, it can remain open for the purposes of this decision whether the contested behavior is abusive, as the participant has committed to cease the behavior through its commitment.</w:t>
        <w:br/>
        <w:t>22 By email dated October 18, 2012, the participant submitted an information sheet "Current Lufthansa Information" to the decision division, in which it informs its customers about this clarification regarding Clause 10.2.</w:t>
      </w:r>
    </w:p>
    <w:p>
      <w:r>
        <w:t>- 18 -</w:t>
        <w:br/>
        <w:t>7. The Commitments of the Participant</w:t>
        <w:br/>
        <w:t>63. § 32 b GWB opens up the possibility for the antitrust authority to declare commitments offered by companies binding by order if they are suitable to eliminate the preliminary concerns communicated regarding an agreement or behavior covered by §§ 1, 19 GWB/Art. 101, 102 TFEU.</w:t>
        <w:br/>
        <w:t>64. The commitments offered by the participant during the proceedings are, in the opinion of the decision division, suitable to eliminate the preliminary concerns communicated to the participant by the decision division.</w:t>
        <w:br/>
        <w:t>65. The first commitment addresses the contested clause, which is part of the annually negotiated and customer-specific annexes to the framework agreement. With the commitment to no longer condition the conclusion of corporate customer and travel agency contracts on the requirement that the corporate customer or the travel agency transmits competition-sensitive information about Lufthansa's competitors, it is ensured that such (and similar) clauses will no longer be part of the corporate customer contracts as of April 1, 2013. Competition-sensitive data is understood to include the sales data (so-called ticket short data record) previously collected via credit card, from which the credit card number, the airline number, the ticket number and flight coupon, the sales month of the ticket, the airline that issued or operated the ticket, the specific flight route, the service class, the booking class, and the (reduced) price of the ticket (the upfront fare or corporate discount) can be derived (see also point 12). The commitment applies to all contracts of the participant with corporate customers or travel agencies. Thus, the commitment ensures that as of April 1, 2013, there will be neither ongoing nor new contracts of the participant with corporate customers or travel agencies that contain the obligation for the customer to transmit competition-sensitive information about competitors to the participant (or companies belonging to the participant's corporate group).</w:t>
        <w:br/>
        <w:t>66. The second commitment eliminates any misunderstandings regarding the scope of the corporate customers' consent to the forwarding of MIDT data from CRS to airlines.</w:t>
      </w:r>
    </w:p>
    <w:p>
      <w:r>
        <w:rPr>
          <w:b/>
        </w:rPr>
        <w:t>[Pages 19–21]</w:t>
      </w:r>
    </w:p>
    <w:p>
      <w:r>
        <w:t>- 19 -</w:t>
        <w:br/>
        <w:t>67. Therefore, the decision division declares the commitments binding in the exercise of its discretionary powers and terminates the proceedings against the party involved, subject to its powers contained in § 32 b Abs. 2 GWB. The conclusion of the proceedings under § 32 b Abs. 1 GWB is justified by the fact that the party involved will no longer be able to access the competition-sensitive data of its competitors in the next negotiation round. Any other course would have taken longer. Furthermore, corporate customers will no longer be obligated in contracts with the party involved to disclose data for which they have contractually committed to confidentiality with third parties. The commitments of the party involved are binding for all contracts of the party involved with corporate customers and travel agencies. A decision under § 32 b GWB also allows for the swift enforcement of compliance with the commitments if necessary.</w:t>
        <w:br/>
        <w:t>68. This decision exclusively addresses the contested clauses in the contracts of the party involved with its corporate customers and does not contain any antitrust assessment regarding the data transfer of the CRS or other companies23 to airlines.</w:t>
        <w:br/>
        <w:t>69. The commitments become effective upon delivery of the order and are valid indefinitely.</w:t>
        <w:br/>
        <w:t>VI. Fees</w:t>
        <w:br/>
        <w:t>70. The fee decision is based on § 80 Abs. 1 Satz 2 Nr. 2 GWB. The amount of the fee is determined in accordance with § 80 Abs. 2 Satz 1 GWB based on the personnel and material expenditure of the antitrust authority and the economic significance of the proceedings conducted against the affected party. The fee rate may not exceed 25,000 Euros in the case of § 32 b Abs. 1 GWB according to § 80 Abs. 2 Satz 2 Nr. 2 GWB. If the personnel or material expenditure of the antitrust authority is exceptionally high in relation to the economic value of the fee-liable action in the individual case, the fee may be increased to double the amount according to § 80 Abs. 1 Satz 3 GWB. The decision division considers a fee of [...] Euros to be appropriate in this case. Given the high market shares of the party involved and the amount of annual revenue, the economic significance of the proceedings is to be classified as significantly above average. The personnel and material expenditure was correspondingly high.</w:t>
        <w:br/>
        <w:t>23 E.g., the Prism Group/Texas belonging to the US-American CRS Sabre.</w:t>
      </w:r>
    </w:p>
    <w:p>
      <w:r>
        <w:t>- 20 -</w:t>
        <w:br/>
        <w:t>The debtor of this fee is the party involved according to § 80 Abs. 6 Satz 1 Nr. 2 in conjunction with Satz 3 GWB. The fee is due upon delivery of this decision and must be transferred within one month after delivery to the account of the</w:t>
        <w:br/>
        <w:t>Bundeskasse Trier at the</w:t>
        <w:br/>
        <w:t>Deutsche Bundesbank, Saarbrücken Branch</w:t>
        <w:br/>
        <w:t>BLZ: 590 000 00</w:t>
        <w:br/>
        <w:t>Account No.: 590 010 20</w:t>
        <w:br/>
        <w:t>For international payments:</w:t>
        <w:br/>
        <w:t>IBAN: DE81 5900 0000 0059 0010 20</w:t>
        <w:br/>
        <w:t>BIC: MARKDEF 1590</w:t>
        <w:br/>
        <w:t>As a reference, please indicate the following cash reference number:</w:t>
        <w:br/>
        <w:t>810600266527</w:t>
        <w:br/>
        <w:t>Please note that your payment cannot be processed without the cash reference number.</w:t>
        <w:br/>
        <w:t>If the fee is not paid by the end of one month after the day of delivery, a late fee of one percent of the outstanding amount will be charged for each commenced month of delay.</w:t>
        <w:br/>
        <w:t>The expenses for the necessary publication of this decision in the Federal Gazette (§ 62 Satz 1 GWB) will be charged separately (§ 80 Abs. 1 Satz 3 GWB).</w:t>
      </w:r>
    </w:p>
    <w:p>
      <w:r>
        <w:t>- 21 -</w:t>
        <w:br/>
        <w:t>Legal Remedies Notice</w:t>
        <w:br/>
        <w:t>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w:t>
        <w:br/>
        <w:t>The appeal must be substantiated by a written submission filed with the Bundeskartellamt or the appellate court. The deadline for substantiating the appeal is two months. It begins with the delivery of the contested order and may be extended upon request by the presiding judge of the appellate court. The appeal must contain a statement indicating the extent to which the decision is being contested and a request for its amendment or annulment, as well as the facts and evidence, which may also be new, on which the appeal is based.</w:t>
        <w:br/>
        <w:t>The appeal and its substantiation must be signed by a lawyer.</w:t>
        <w:br/>
        <w:t>The appeal does not have suspensive effect. Upon request, the appellate court may order the suspensive effect of the appeal in whole or in part.</w:t>
        <w:br/>
        <w:t>…………….. …. ………………… …………………………..</w:t>
        <w:br/>
        <w:t>Hossenfelder E. Müller zu Solms-Sieglin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