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https://www.cnmc.es/expedientes/c000807</w:t>
      </w:r>
    </w:p>
    <w:p>
      <w:r>
        <w:t>Pages translated : 12</w:t>
      </w:r>
    </w:p>
    <w:p/>
    <w:p>
      <w:r>
        <w:rPr>
          <w:b/>
        </w:rPr>
        <w:t>[Pages 1–3]</w:t>
      </w:r>
    </w:p>
    <w:p>
      <w:r>
        <w:t>NATIONAL COMMISSION</w:t>
        <w:br/>
        <w:t>FOR COMPETITION</w:t>
        <w:br/>
        <w:t>RESOLUTION (File C-0008/07, La Caixa/Caifor)</w:t>
        <w:br/>
        <w:t>COUNCIL</w:t>
        <w:br/>
        <w:t>Mr. Luis Berenguer Fuster, President</w:t>
        <w:br/>
        <w:t>Mr. Fernando Torremocha García-Saénz, Councilor</w:t>
        <w:br/>
        <w:t>Mr. Emilio Conde Fernández Oliva, Councilor</w:t>
        <w:br/>
        <w:t>Mr. Miguel Cuerdo Mir, Councilor</w:t>
        <w:br/>
        <w:t>Ms. Pilar Sánchez Núñez, Councilor</w:t>
        <w:br/>
        <w:t>Mr. Julio Costas Comesaña, Councilor</w:t>
        <w:br/>
        <w:t>Ms. Mª Jesús González López, Councilor</w:t>
        <w:br/>
        <w:t>Ms. Inmaculada Gutiérrez Carrizo, Councilor</w:t>
        <w:br/>
        <w:t>In Madrid, on October 25, 2007.</w:t>
      </w:r>
    </w:p>
    <w:p>
      <w:r>
        <w:t>Having reviewed the notification submitted in accordance with Article 9 of Law 15/2007, of July 3, on the Defense of Competition, regarding the economic concentration operation consisting of the acquisition by CRITERIA CAIXA CORP. S.A.U., a subsidiary of LA CAIXA DE AHORROS Y PENSIONES DE BARCELONA, of exclusive control over CAIFOR S.A. (File C-0008/07) and agreeing with the report and proposal submitted by the General Directorate of Defense of Competition, the Council of the National Commission for Competition has resolved, in application of Article 57.2.a) of the aforementioned Law, to authorize the said concentration operation.</w:t>
      </w:r>
    </w:p>
    <w:p>
      <w:r>
        <w:t>This Resolution shall be communicated to the General Directorate of Defense of Competition and notified to the interested parties, informing them that it concludes the administrative procedure and that a contentious-administrative appeal may be filed against it before the National Court, within two months from its notification.</w:t>
      </w:r>
    </w:p>
    <w:p>
      <w:r>
        <w:t>1</w:t>
      </w:r>
    </w:p>
    <w:p>
      <w:r>
        <w:t>MINISTRY GENERAL DIRECTORATE OF DEFENSE</w:t>
        <w:br/>
        <w:t>OF ECONOMY OF COMPETITION</w:t>
        <w:br/>
        <w:t>AND FINANCE</w:t>
        <w:br/>
        <w:t>REPORT AND PROPOSAL FOR RESOLUTION</w:t>
        <w:br/>
        <w:t>FILE C/0008/07 LA CAIXA / CAIFOR</w:t>
      </w:r>
    </w:p>
    <w:p>
      <w:r>
        <w:t>On October 2, 2007, the concentration operation was submitted to the General Directorate of Defense of Competition, consisting of the acquisition by CRITERIA CAIXA CORP, S.A.U. (“CRITERIA”), a subsidiary of LA CAIXA DE AHORROS Y PENSIONES DE BARCELONA (“LA CAIXA”), of exclusive control over CAIFOR, S.A.</w:t>
      </w:r>
    </w:p>
    <w:p>
      <w:r>
        <w:t>This notification has been made by CRITERIA, in accordance with Article 9 of Law 15/2007, of July 3, on the Defense of Competition for exceeding the thresholds established in Articles 8.1.a) and b) of the aforementioned regulation. This operation is subject to the provisions of Royal Decree 1443/2001, of December 21, which develops Law 16/1989, regarding the control of economic concentrations.</w:t>
      </w:r>
    </w:p>
    <w:p>
      <w:r>
        <w:t>Article 57.2.c) of Law 15/2007 establishes that the Council of the National Commission for Competition shall issue a resolution in the first phase in which “it may agree to initiate the second phase of the procedure when it considers that the concentration may hinder the maintenance of effective competition in all or part of the national market.”</w:t>
      </w:r>
    </w:p>
    <w:p>
      <w:r>
        <w:t>Furthermore, Article 38.2 of Law 15/2007 adds: "The passage of the maximum period established in Article 36.2.a) of this Law for the resolution in the first phase of control of concentrations will determine the estimation of the corresponding request by administrative silence, except in the cases provided for in Articles 9.5, 55.5, and 57.2.d) of this Law.”</w:t>
      </w:r>
    </w:p>
    <w:p>
      <w:r>
        <w:t>In accordance with the provisions of Article 9.6 of Law 15/2007, the notifying party has requested that the suspension of the execution of the concentration be lifted.</w:t>
      </w:r>
    </w:p>
    <w:p>
      <w:r>
        <w:t>According to the above, the deadline to agree to initiate the second phase of the procedure is November 2, 2007, inclusive. After this date, the notified operation will be considered tacitly authorized.</w:t>
      </w:r>
    </w:p>
    <w:p>
      <w:r>
        <w:t>I.- NATURE OF THE OPERATION</w:t>
      </w:r>
    </w:p>
    <w:p>
      <w:r>
        <w:t>The concentration operation consists of the acquisition of exclusive control of CAIFOR, S.A. and the companies that make up the CAIFOR group by the LA CAIXA group. The operation is therefore included in the assumption of Article 7.1.b) of the LDC.</w:t>
      </w:r>
    </w:p>
    <w:p>
      <w:r>
        <w:t>Currently, CAIFOR, S.A. is jointly controlled by LA CAIXA and FORTIS, so the operation implies the transition from joint control to exclusive control by LA CAIXA.</w:t>
      </w:r>
    </w:p>
    <w:p>
      <w:r>
        <w:t>The operation is implemented through a contract […]1, signed between LA CAIXA and FORTIS, which contains as a suspensive condition for the perfection of the operation the authorization of the Spanish competition defense authorities.</w:t>
      </w:r>
    </w:p>
    <w:p>
      <w:r>
        <w:t>1 Parts of the report whose exact content has been declared confidential are inserted in brackets.</w:t>
      </w:r>
    </w:p>
    <w:p>
      <w:r>
        <w:t>Pº de la Castellana, 162, 22nd Floor</w:t>
        <w:br/>
        <w:t>28071 MADRID</w:t>
        <w:br/>
        <w:t>TEL.: 91 583 0056</w:t>
        <w:br/>
        <w:t>FAX: 91 583 5570</w:t>
      </w:r>
    </w:p>
    <w:p>
      <w:r>
        <w:t>II.- ACCESSORY RESTRICTIONS</w:t>
      </w:r>
    </w:p>
    <w:p>
      <w:r>
        <w:t>Clause 10 of the contract […] contains a non-solicitation agreement with a duration [not exceeding three years] from the closing date of the operation, under which […].</w:t>
      </w:r>
    </w:p>
    <w:p>
      <w:r>
        <w:t>Section 3 of Article 10 of Law 15/2007 establishes that “certain accessory restrictions on competition, directly linked to the operation and necessary for its realization, may be understood to be included.”</w:t>
      </w:r>
    </w:p>
    <w:p>
      <w:r>
        <w:t>Taking into account national and community precedents, as well as the Commission Communication on restrictions directly linked to the realization of a concentration and necessary for that purpose (2005/C 56/03), it is considered that the content and duration of the non-solicitation clause do not go beyond what is reasonably required by the notified concentration operation, so it could be considered an integral part of it.</w:t>
      </w:r>
    </w:p>
    <w:p>
      <w:r>
        <w:t>III. APPLICABILITY OF LAW 15/2007 ON THE DEFENSE OF COMPETITION</w:t>
      </w:r>
    </w:p>
    <w:p>
      <w:r>
        <w:t>According to the notifying party, the operation does not fall within the scope of Regulation (EC) No. 139/2004 of the Council, of January 20, on the control of concentrations between companies, since although the thresholds of its Article 1.2 are exceeded, the parties to the operation obtain more than two-thirds of their community turnover in Spain.</w:t>
      </w:r>
    </w:p>
    <w:p>
      <w:r>
        <w:t>However, the notified operation meets the requirements established by Law 15/2007 for its notification, as the thresholds established in Articles 8.1.a) and b) of the same are exceeded.</w:t>
      </w:r>
    </w:p>
    <w:p>
      <w:r>
        <w:t>Furthermore, the operation complies with the requirements set forth in Article 56.1.c) for its processing as an expedited procedure.</w:t>
      </w:r>
    </w:p>
    <w:p>
      <w:r>
        <w:t>IV.- PARTICIPATING COMPANIES</w:t>
      </w:r>
    </w:p>
    <w:p>
      <w:r>
        <w:t>IV.1 CRITERIA</w:t>
      </w:r>
    </w:p>
    <w:p>
      <w:r>
        <w:t>CRITERIA, a subsidiary of LA CAIXA currently2, is the holding company that groups the vast majority of the shareholdings of the LA CAIXA group, being responsible for the investment strategy of the group.</w:t>
      </w:r>
    </w:p>
    <w:p>
      <w:r>
        <w:t>LA CAIXA is a financial entity3 subject to Legislative Decree 1/1994, of April 6, on Savings Banks of Catalonia. As a Savings Bank, it is a financial institution of a social nature and foundational nature, non-profit, dedicated to the collection, administration, and investment of the savings of individuals.</w:t>
      </w:r>
    </w:p>
    <w:p>
      <w:r>
        <w:t>Currently, LA CAIXA has a significant portfolio of shareholdings in financial and insurance companies as well as in industrial entities in the infrastructure, energy, and communications sectors. In the insurance and social welfare sector, LA CAIXA primarily operates through CAIFOR, which groups the shareholdings of the group in that area.</w:t>
      </w:r>
    </w:p>
    <w:p>
      <w:r>
        <w:t>2 Recently, LA CAIXA has decided to list the shares of CRITERIA through a Public Offering of Subscription of Shares (OPS), with the consequent admission to trading of the shares representing the entirety of its share capital on the Stock Exchanges of Madrid, Barcelona, Bilbao, and Valencia, as well as its incorporation into the Continuous Market. After the OPS, LA CAIXA retains 78% of the share capital of CRITERIA.</w:t>
      </w:r>
    </w:p>
    <w:p>
      <w:r>
        <w:t>3 Established in 1990 by the merger of the Savings Bank and Piety Fund of Barcelona and the Pension Fund for the Elderly and Savings of Catalonia and the Balearic Islands.</w:t>
      </w:r>
    </w:p>
    <w:p>
      <w:r>
        <w:t>MINISTRY</w:t>
        <w:br/>
        <w:t>OF ECONOMY AND FINANCE</w:t>
        <w:br/>
        <w:t>GENERAL DIRECTORATE OF DEFENSE</w:t>
        <w:br/>
        <w:t>OF COMPETITION</w:t>
      </w:r>
    </w:p>
    <w:p>
      <w:r>
        <w:rPr>
          <w:b/>
        </w:rPr>
        <w:t>[Pages 4–6]</w:t>
      </w:r>
    </w:p>
    <w:p>
      <w:r>
        <w:t>Additionally, LA CAIXA, through the company AGUAS DE BARCELONA, S.A. (“AGBAR”), has an indirect stake in ADESLAS, an insurance company that primarily operates in the health insurance sector. According to the notifier, ADESLAS is currently owned by AGBAR (55%) and the French mutual MÉDERIC (45%). Regarding its control structure following MÉDERIC's entry into its shareholding, the reports from the Service and the Competition Defense Tribunal concerning operation N-06069 ADESLAS/GLOBAL CONSULTING/LINCE SERVICIOS SANITARIOS state that, according to the notifiers, ADESLAS is controlled by AGBAR.</w:t>
      </w:r>
    </w:p>
    <w:p>
      <w:r>
        <w:t>The turnover of the LA CAIXA group in the last three financial years, according to Article 3 of Royal Decree 1443/2001, is, according to the notifier, as follows:</w:t>
      </w:r>
    </w:p>
    <w:p>
      <w:r>
        <w:t>TURNOVER OF LA CAIXA*</w:t>
        <w:br/>
        <w:t>(Million euros)</w:t>
        <w:br/>
        <w:t>2004 2005 2006</w:t>
        <w:br/>
        <w:t>Worldwide [&gt; 240] [&gt; 240] [&gt; 240]</w:t>
        <w:br/>
        <w:t>European Union [&gt; 240] [&gt; 240] [&gt; 240]</w:t>
        <w:br/>
        <w:t>Spain [&gt; 60] [&gt; 60] [&gt; 60]</w:t>
        <w:br/>
        <w:t>Source: Notification</w:t>
        <w:br/>
        <w:t>* Excluding the turnover of CAIFOR, S.A.</w:t>
      </w:r>
    </w:p>
    <w:p>
      <w:r>
        <w:t>IV.2 CAIFOR, S.A.</w:t>
        <w:br/>
        <w:t>CAIFOR is a company based in Spain created in 1992 and is currently jointly controlled by LA CAIXA and the Belgian-Dutch group FORTIS, which each hold 50% of its share capital. CAIFOR is active in the insurance and social welfare sector through its participation as a partner in entities that carry out these activities. Specifically, the following companies are part of the CAIFOR group:</w:t>
        <w:br/>
        <w:t>• VIDACAIXA, S.A. DE SEGUROS Y REASEGUROS (“VIDACAIXA”). Life insurance and reinsurance.</w:t>
        <w:br/>
        <w:t>LA CAIXA currently holds 49% of HISUSA, HOLDING DE INFRAESTRUCTURAS Y SERVICIOS URBANOS, S.A. (“HISUSA”), which in turn holds 49.79% of AGBAR. The remaining 51% of HISUSA's capital is in the hands of the SUEZ group. The relationships between LA CAIXA and SUEZ in HISUSA are governed by an agreement signed on July 18, 2006, which replaces previous agreements from 1991 that effectively granted LA CAIXA and SUEZ joint control over HISUSA and, therefore, over AGBAR since that date. […]</w:t>
      </w:r>
    </w:p>
    <w:p>
      <w:r>
        <w:t>According to the notifier, CAIFOR's turnover in the last three financial years, according to Article 3 of Royal Decree 1443/2001, is as follows:</w:t>
      </w:r>
    </w:p>
    <w:p>
      <w:r>
        <w:t>TURNOVER OF CAIFOR</w:t>
        <w:br/>
        <w:t>(Million euros)</w:t>
        <w:br/>
        <w:t>2004 2005 2006</w:t>
        <w:br/>
        <w:t>Worldwide [&gt; 240] [&gt; 240] [&gt; 240]</w:t>
        <w:br/>
        <w:t>European Union [&gt; 240] [&gt; 240] [&gt; 240]</w:t>
        <w:br/>
        <w:t>Spain [&gt; 60] [&gt; 60] [&gt; 60]</w:t>
        <w:br/>
        <w:t>Source: Notification</w:t>
      </w:r>
    </w:p>
    <w:p>
      <w:r>
        <w:t>V.- RELEVANT MARKETS</w:t>
        <w:br/>
        <w:t>V.1 Product Markets</w:t>
        <w:br/>
        <w:t>The economic sector involved in the notified operation is that of insurance and social welfare. Both Spanish and community competition authorities have distinguished three broad product markets in the insurance sector: life insurance, non-life insurance, and reinsurance.</w:t>
      </w:r>
    </w:p>
    <w:p>
      <w:r>
        <w:t>Life insurance covers the risks that may affect human beings, specifically the existence of the person, either in its death modality (risk life insurance) or survival modality (savings-retirement life insurance). In this latter group, which guarantees the payment of a capital or income if the insured lives on (or from) a certain date, retirement insurance, insured pension plans, and other savings insurance are included, as well as asset-linked insurance (unit linked). Depending on the number of beneficiaries of the insurance, a distinction is made between individual and collective insurance.</w:t>
      </w:r>
    </w:p>
    <w:p>
      <w:r>
        <w:t>As for non-life insurance, this group includes a wide variety of types of insurance. Thus, Royal Legislative Decree 6/2004, of October 29, 2004, which approves the consolidated text of the Law on Regulation and Supervision of Private Insurance, distinguishes 19 categories of non-life insurance.</w:t>
      </w:r>
    </w:p>
    <w:p>
      <w:r>
        <w:t>Reinsurance, for its part, aims to distribute the risk accepted by insurers among the reinsurers themselves. In a way, it is about syndicating the risk of having to pay compensation by the insurance companies. In the reinsurance contract, the insurer and the reinsurer agree on the proportion in which both the collection of premiums accrued from the assumption of risk and the payments for liabilities arising from the risk should be distributed. Reinsurance allows for as many modalities as the parties wish regarding proportionality, amount, priority, etc.</w:t>
      </w:r>
    </w:p>
    <w:p>
      <w:r>
        <w:t>From the demand perspective, the life and non-life insurance markets can be subdivided into as many product markets as the risks they cover, since the substitutability between them is null, due to the different characteristics, premiums, and purposes of each. In this sense, insurance from one branch is not substitutable, from the demand perspective, by insurance from others.</w:t>
      </w:r>
    </w:p>
    <w:p>
      <w:r>
        <w:t>However, from the supply perspective, certain national precedents and community cases have indicated that the conditions offered by insurance companies for different types of risks are very similar to each other, which, along with the fact that most insurers (especially large insurance companies) offer insurance for various types of risks, has led to the inclusion of various types of non-life insurance in the same product market. The same reasoning could be applied to life insurance.</w:t>
      </w:r>
    </w:p>
    <w:p>
      <w:r>
        <w:t>In the case at hand, the notifier considers that since this is an operation that involves the transition from joint control to exclusive control of CAIFOR, it is not necessary to establish a precise definition of the market since the valuation of the operation is substantially the same regardless of the market definition used.</w:t>
      </w:r>
    </w:p>
    <w:p>
      <w:r>
        <w:t>As for the reinsurance market, it constitutes a distinct market from life and non-life insurance, as its purpose is to distribute risk among insurers. This market has a significant international component and requires a high degree of specialization.</w:t>
      </w:r>
    </w:p>
    <w:p>
      <w:r>
        <w:t>CAIFOR is primarily active in the life insurance market, with its non-life insurance activities being more limited (primarily in the segments of accidents, health and medical assistance, non-rail terrestrial vehicles, railway vehicles, aerial vehicles, maritime, lacustrine and fluvial vehicles, transported goods, fire and natural elements, other property damage, civil liability in terrestrial vehicles, civil liability in aerial vehicles, civil liability in maritime, lacustrine and fluvial vehicles, general civil liability, credit; surety, various pecuniary losses, legal defense, assistance, and death).</w:t>
      </w:r>
    </w:p>
    <w:p>
      <w:r>
        <w:t>12 Case M.3.556 FORTIS/BCP and COMP/M.4284 AXA/WINTERTHUR.</w:t>
      </w:r>
    </w:p>
    <w:p>
      <w:r>
        <w:rPr>
          <w:b/>
        </w:rPr>
        <w:t>[Pages 7–9]</w:t>
      </w:r>
    </w:p>
    <w:p>
      <w:r>
        <w:t>accidents and multi-risk), while those of reinsurance are marginal13. For its part, ADESLAS, an insurer jointly controlled by LA CAIXA and SUEZ (through AGBAR), is active in the segment of health insurance and healthcare assistance.</w:t>
      </w:r>
    </w:p>
    <w:p>
      <w:r>
        <w:t>Thus, taking into account the activities of the parties and the community and national precedents, this General Directorate will analyze the impact of the operation on the overall life insurance market and in the segments of individual, collective, risk, and savings life insurance, as well as in the non-life insurance market, referring to those areas in which CAIFOR and ADESLAS carry out their activities, namely, the market for home multi-risk insurance, accidents, and health and healthcare assistance.</w:t>
      </w:r>
    </w:p>
    <w:p>
      <w:r>
        <w:t>The remaining activities of CAIFOR, including reinsurance, carried out through the companies AGENCAIXA and SEGURVIDA, are irrelevant for the purposes of the operation analysis given the limited significance of their business volume in the markets in which they operate, and therefore are disregarded in the analysis of the operation.</w:t>
      </w:r>
    </w:p>
    <w:p>
      <w:r>
        <w:t>V.2 Geographic Market</w:t>
      </w:r>
    </w:p>
    <w:p>
      <w:r>
        <w:t>Both community and national practice agree in establishing that in the field of private insurance, the geographic market is generally of a national character for life and non-life insurance branches aimed at private consumers14. This is due to the different structures of national markets, the need for adequate distribution channels, tax limitations, and, in summary, the different regulations of each country. However, the Commission appreciates a growing transnational activity.</w:t>
      </w:r>
    </w:p>
    <w:p>
      <w:r>
        <w:t>In fact, there are certain markets with a transnational component, such as transport insurance covering large risks and reinsurance, and others with a more limited geographic character. Such is the case of the market for private health insurance and healthcare assistance, which has a provincial scope, as established in various precedents15.</w:t>
      </w:r>
    </w:p>
    <w:p>
      <w:r>
        <w:t>Among the elements evaluated in this regard is the demand preference for nearby healthcare assistance, with the lowest possible cost and travel time, the price differences from one province to another depending on the healthcare cost profile of each province (which will largely depend on the availability of doctors and centers and the cost of services), and the need for the physical presence of companies through their own branches, agents, and insurance brokers, as an important factor in customer acquisition.</w:t>
      </w:r>
    </w:p>
    <w:p>
      <w:r>
        <w:t>VI. MARKET ANALYSIS</w:t>
      </w:r>
    </w:p>
    <w:p>
      <w:r>
        <w:t>The shares of CAIFOR and its main competitors in the national life insurance market and in the segments of individual, collective, risk, and savings life insurance during the last three financial years are reflected in the tables presented below:</w:t>
      </w:r>
    </w:p>
    <w:p>
      <w:r>
        <w:t>13 According to the notifier, CAIFOR's share in 2005 reached approximately [less than 1%] of the national reinsurance market and a similar figure in 2006.</w:t>
      </w:r>
    </w:p>
    <w:p>
      <w:r>
        <w:t>14 Case COMP/M.2225 FORTIS/ASR.</w:t>
      </w:r>
    </w:p>
    <w:p>
      <w:r>
        <w:t>15 N-06069 ADESLAS/GLOBAL CONSULTING/LINCE SERVICIOS SANITARIOS.</w:t>
      </w:r>
    </w:p>
    <w:p>
      <w:r>
        <w:t xml:space="preserve">MINISTRY OF ECONOMY AND FINANCE  </w:t>
        <w:br/>
        <w:t>GENERAL DIRECTORATE OF DEFENSE OF COMPETITION</w:t>
      </w:r>
    </w:p>
    <w:p>
      <w:r>
        <w:t xml:space="preserve">LIFE INSURANCE MARKET IN SPAIN.  </w:t>
        <w:br/>
        <w:t xml:space="preserve">Direct insurance premiums, in value (million euros)  </w:t>
        <w:br/>
        <w:t xml:space="preserve">2004 2005 2006  </w:t>
        <w:br/>
        <w:t xml:space="preserve">Millions Millions Millions  </w:t>
        <w:br/>
        <w:t xml:space="preserve">Operator Share Share Share  </w:t>
        <w:br/>
        <w:t xml:space="preserve">euros euros euros  </w:t>
        <w:br/>
        <w:t xml:space="preserve">SANTANDER SEGUROS […] [0-10%] […] [0-10%] […] [10-20%]  </w:t>
        <w:br/>
        <w:t xml:space="preserve">MAPFRE VIDA […] [0-10%] […] [0-10%] […] [0-10%]  </w:t>
        <w:br/>
        <w:t xml:space="preserve">IBERCAJA VIDA […] [0-10%] […] [0-10%] […] [0-10%]  </w:t>
        <w:br/>
        <w:t xml:space="preserve">VIDACAIXA (CAIFOR) […] [0-10%] […] [0-10%] […] [0-10%]  </w:t>
        <w:br/>
        <w:t xml:space="preserve">BANSABADELL VIDA […] [0-10%] […] [0-10%] […] [0-10%]  </w:t>
        <w:br/>
        <w:t xml:space="preserve">BBVA SEGUROS […] [0-10%] […] [0-10%] […] [0-10%]  </w:t>
        <w:br/>
        <w:t xml:space="preserve">CASER […] [0-10%] […] [0-10%] […] [0-10%]  </w:t>
        <w:br/>
        <w:t xml:space="preserve">ASEVAL […] [0-10%] […] [0-10%] […] [0-10%]  </w:t>
        <w:br/>
        <w:t xml:space="preserve">ASCAT VIDA […] [0-10%] […] [0-10%] […] [0-10%]  </w:t>
        <w:br/>
        <w:t xml:space="preserve">ZURICH VIDA […] [0-10%] […] [0-10%] […] [0-10%]  </w:t>
        <w:br/>
        <w:t xml:space="preserve">…. […] … […] …. […] ….  </w:t>
        <w:br/>
        <w:t xml:space="preserve">TOTAL […] 100% […] 100% […] 100%  </w:t>
        <w:br/>
        <w:t xml:space="preserve">Source: Notification, according to DBK data  </w:t>
        <w:br/>
        <w:t xml:space="preserve">NATIONAL MARKET FOR INDIVIDUAL LIFE INSURANCE.  </w:t>
        <w:br/>
        <w:t xml:space="preserve">In value (million euros)  </w:t>
        <w:br/>
        <w:t xml:space="preserve">2004 2005 2006  </w:t>
        <w:br/>
        <w:t xml:space="preserve">Millions Millions Millions  </w:t>
        <w:br/>
        <w:t xml:space="preserve">Operator Share Share Share  </w:t>
        <w:br/>
        <w:t xml:space="preserve">euros euros euros  </w:t>
        <w:br/>
        <w:t xml:space="preserve">SANTANDER SEGUROS […] [0-10%] […] [0-10%] […] [10-20%]  </w:t>
        <w:br/>
        <w:t xml:space="preserve">IBERCAJA VIDA […] [0-10%] […] [0-10%] […] [0-10%]  </w:t>
        <w:br/>
        <w:t xml:space="preserve">MAPFRE VIDA […] [0-10%] […] [0-10%] […] [0-10%]  </w:t>
        <w:br/>
        <w:t xml:space="preserve">BANSABADELL VIDA […] [0-10%] […] [0-10%] […] [0-10%]  </w:t>
        <w:br/>
        <w:t xml:space="preserve">BBVA SEGUROS […] [0-10%] […] [0-10%] […] [0-10%]  </w:t>
        <w:br/>
        <w:t xml:space="preserve">VIDACAIXA (CAIFOR) […] [0-10%] […] [0-10%] […] [0-10%]  </w:t>
        <w:br/>
        <w:t xml:space="preserve">ASEVAL --- --- […] [0-10%] […] [0-10%]  </w:t>
        <w:br/>
        <w:t xml:space="preserve">ASCAT VIDA […] [0-10%] […] [0-10%] […] [0-10%]  </w:t>
        <w:br/>
        <w:t xml:space="preserve">ZURICH VIDA […] [0-10%] […] [0-10%] […] [0-10%]  </w:t>
        <w:br/>
        <w:t xml:space="preserve">…. … … ….. …. …. ….  </w:t>
        <w:br/>
        <w:t xml:space="preserve">TOTAL […] 100% […] 100% […] 100%  </w:t>
        <w:br/>
        <w:t xml:space="preserve">Source: Notification, according to DBK and ICEA data  </w:t>
        <w:br/>
        <w:t xml:space="preserve">NATIONAL MARKET FOR COLLECTIVE LIFE INSURANCE  </w:t>
        <w:br/>
        <w:t xml:space="preserve">In value (million euros)  </w:t>
        <w:br/>
        <w:t xml:space="preserve">2004 2005 2006  </w:t>
        <w:br/>
        <w:t xml:space="preserve">Millions Millions Millions  </w:t>
        <w:br/>
        <w:t xml:space="preserve">Operator Share Share Share  </w:t>
        <w:br/>
        <w:t xml:space="preserve">euros euros euros  </w:t>
        <w:br/>
        <w:t xml:space="preserve">VIDACAIXA (CAIFOR) […] [10-20%] […] [20-30%] […] [10-20%]  </w:t>
        <w:br/>
        <w:t xml:space="preserve">MAPFRE VIDA […] [10-20%] […] [10-20%] […] [10-20%]  </w:t>
        <w:br/>
        <w:t xml:space="preserve">VITALICIO SEGUROS - - […] [0-10%] […] [10-20%]  </w:t>
        <w:br/>
        <w:t xml:space="preserve">BBVA SEGUROS […] [0-10%] […] 11.4% […] [0-10%]  </w:t>
        <w:br/>
        <w:t xml:space="preserve">CASER […] [0-10%] […] [0-10%] […] [0-10%]  </w:t>
        <w:br/>
        <w:t xml:space="preserve">ESTRELLA SEGUROS - - […] [0-10%] […] [0-10%]  </w:t>
        <w:br/>
        <w:t xml:space="preserve">WINTERTHUR VIDA […] [0-10%] […] [0-10%] […] [0-10%]  </w:t>
        <w:br/>
        <w:t xml:space="preserve">MINISTRY OF ECONOMY AND FINANCE  </w:t>
        <w:br/>
        <w:t>GENERAL DIRECTORATE OF DEFENSE OF COMPETITION</w:t>
      </w:r>
    </w:p>
    <w:p>
      <w:r>
        <w:t xml:space="preserve">NATIONAL MARKET FOR COLLECTIVE LIFE INSURANCE  </w:t>
        <w:br/>
        <w:t xml:space="preserve">In value (million euros)  </w:t>
        <w:br/>
        <w:t xml:space="preserve">2004 2005 2006  </w:t>
        <w:br/>
        <w:t xml:space="preserve">Millions Millions Millions  </w:t>
        <w:br/>
        <w:t xml:space="preserve">Operator Share Share Share  </w:t>
        <w:br/>
        <w:t xml:space="preserve">euros euros euros  </w:t>
        <w:br/>
        <w:t xml:space="preserve">SANTANDER SEGUROS […] [0-10%] […] [0-10%] […] [0-10%]  </w:t>
        <w:br/>
        <w:t xml:space="preserve">SEGUROS ANTARES […] [0-10%] […] [0-10%] […] [0-10%]  </w:t>
        <w:br/>
        <w:t xml:space="preserve">…. … … ….. …. …. ….  </w:t>
        <w:br/>
        <w:t xml:space="preserve">TOTAL […] 100% […] 100% […] 100%  </w:t>
        <w:br/>
        <w:t xml:space="preserve">NATIONAL MARKET FOR LIFE INSURANCE (RISK MODE)  </w:t>
        <w:br/>
        <w:t xml:space="preserve">In value (million euros)  </w:t>
        <w:br/>
        <w:t xml:space="preserve">2004 2005 2006  </w:t>
        <w:br/>
        <w:t xml:space="preserve">Millions Millions Millions  </w:t>
        <w:br/>
        <w:t xml:space="preserve">Operator Share Share Share  </w:t>
        <w:br/>
        <w:t xml:space="preserve">euros euros euros  </w:t>
        <w:br/>
        <w:t xml:space="preserve">VIDACAIXA (CAIFOR) […] [0-10%] […] [0-10%] […] [0-10%]  </w:t>
        <w:br/>
        <w:t xml:space="preserve">MAPFRE VIDA […] [0-10%] […] [0-10%] […] [0-10%]  </w:t>
        <w:br/>
        <w:t xml:space="preserve">CASER […] [0-10%] […] [0-10%] […] [0-10%]  </w:t>
        <w:br/>
        <w:t xml:space="preserve">EUROVIDA - - […] [0-10%] […] [0-10%]  </w:t>
        <w:br/>
        <w:t xml:space="preserve">AXA AURORA VIDA […] [0-10%] […] [0-10%] […] [0-10%]  </w:t>
        <w:br/>
        <w:t xml:space="preserve">ESTRELLA SEGUROS - - […] [0-10%] […] [0-10%]  </w:t>
        <w:br/>
        <w:t xml:space="preserve">WINTERTHUR VIDA […] [0-10%] […] [0-10%] […] [0-10%]  </w:t>
        <w:br/>
        <w:t xml:space="preserve">ALLIANZ - - […] [0-10%] […] [0-10%]  </w:t>
        <w:br/>
        <w:t xml:space="preserve">UNICORP VIDA - - […] [0-10%] […] [0-10%]  </w:t>
        <w:br/>
        <w:t xml:space="preserve">…. … … ….. …. …. ….  </w:t>
        <w:br/>
        <w:t xml:space="preserve">TOTAL […] 100% […] 100% […] 100%  </w:t>
        <w:br/>
        <w:t xml:space="preserve">NATIONAL MARKET FOR LIFE INSURANCE (SAVINGS MODE)  </w:t>
        <w:br/>
        <w:t xml:space="preserve">In value (million euros)  </w:t>
        <w:br/>
        <w:t xml:space="preserve">2004 2005 2006  </w:t>
        <w:br/>
        <w:t xml:space="preserve">Millions Millions Millions  </w:t>
        <w:br/>
        <w:t xml:space="preserve">Operator Share Share Share  </w:t>
        <w:br/>
        <w:t xml:space="preserve">euros euros euros  </w:t>
        <w:br/>
        <w:t xml:space="preserve">SANTANDER SEGUROS […] [0-10%] […] [0-10%] […] [10-20%]  </w:t>
        <w:br/>
        <w:t xml:space="preserve">MAPFRE VIDA […] [10-20%] […] [0-10%] […] [0-10%]  </w:t>
        <w:br/>
        <w:t xml:space="preserve">IBERCAJA VIDA […] [0-10%] […] [0-10%] […] [0-10%]  </w:t>
        <w:br/>
        <w:t xml:space="preserve">BANSABADELL VIDA […] [0-10%] […] [0-10%] […] [0-10%]  </w:t>
        <w:br/>
        <w:t xml:space="preserve">VIDACAIXA (CAIFOR) […] [0-10%] […] [0-10%] […] [0-10%]  </w:t>
        <w:br/>
        <w:t xml:space="preserve">BBVA SEGUROS […] [0-10%] […] [0-10%] […] [0-10%]  </w:t>
        <w:br/>
        <w:t xml:space="preserve">ASEVAL - - […] [0-10%] […] [0-10%]  </w:t>
        <w:br/>
        <w:t xml:space="preserve">ASCAT VIDA […] [0-10%] […] [0-10%] […] [0-10%]  </w:t>
        <w:br/>
        <w:t xml:space="preserve">ZURICH VIDA […] [0-10%] […] [0-10%] […] [0-10%]  </w:t>
        <w:br/>
        <w:t xml:space="preserve">…. … … ….. …. …. ….  </w:t>
        <w:br/>
        <w:t xml:space="preserve">TOTAL […] 100% […] 100% […] 100%  </w:t>
        <w:br/>
        <w:t xml:space="preserve">Source: Notification, according to DBK and ICEA data  </w:t>
        <w:br/>
        <w:t xml:space="preserve">The following tables show information on the non-life insurance market in relation to the last financial year, the only information provided by the notifier given the limited presence  </w:t>
        <w:br/>
        <w:t xml:space="preserve">MINISTRY OF ECONOMY AND FINANCE  </w:t>
        <w:br/>
        <w:t>GENERAL DIRECTORATE OF DEFENSE OF COMPETITION</w:t>
      </w:r>
    </w:p>
    <w:p>
      <w:r>
        <w:rPr>
          <w:b/>
        </w:rPr>
        <w:t>[Pages 10–12]</w:t>
      </w:r>
    </w:p>
    <w:p>
      <w:r>
        <w:t>of CAIFOR in them, both at a general level and in the different segments in which it is present (home multi-risk insurance, accidents and health assistance), in any case with a presence of [0-10%].</w:t>
      </w:r>
    </w:p>
    <w:p>
      <w:r>
        <w:t>In the case of the health assistance insurance market, in which ADESLAS, an insurer jointly controlled by LA CAIXA and SUEZ, is also present, both national and provincial information will be provided given the geographical nature of this market. For simplification purposes, only information from those provinces where ADESLAS's market share exceeds 50% of the corresponding market will be provided. CAIFOR, for its part, presents shares of [0-10%] in all provinces where it is present.</w:t>
      </w:r>
    </w:p>
    <w:p>
      <w:r>
        <w:t xml:space="preserve">LIFE INSURANCE MARKET IN SPAIN. 2006  </w:t>
        <w:br/>
        <w:t xml:space="preserve">In value (million euros)  </w:t>
        <w:br/>
        <w:t xml:space="preserve">Operator Million euros Share  </w:t>
        <w:br/>
        <w:t xml:space="preserve">MAPFRE AUTOS […] [0-10%]  </w:t>
        <w:br/>
        <w:t xml:space="preserve">ALLIANZ […] [0-10%]  </w:t>
        <w:br/>
        <w:t xml:space="preserve">AXA AURORA […] [0-10%]  </w:t>
        <w:br/>
        <w:t xml:space="preserve">CAIFOR […] [0-10%]  </w:t>
        <w:br/>
        <w:t xml:space="preserve">Others […] [80-90%]  </w:t>
        <w:br/>
        <w:t>TOTAL […] 100%</w:t>
      </w:r>
    </w:p>
    <w:p>
      <w:r>
        <w:t xml:space="preserve">NATIONAL MARKET OF HOME MULTI-RISK INSURANCE. 2006  </w:t>
        <w:br/>
        <w:t xml:space="preserve">In value (million euros)  </w:t>
        <w:br/>
        <w:t xml:space="preserve">Operator Million euros Share  </w:t>
        <w:br/>
        <w:t xml:space="preserve">MAPFRE SEGUROS […] [10-20%]  </w:t>
        <w:br/>
        <w:t xml:space="preserve">GENERALES  </w:t>
        <w:br/>
        <w:t xml:space="preserve">CASER […] [0-10%]  </w:t>
        <w:br/>
        <w:t xml:space="preserve">SANTALUCÍA […] [0-10%]  </w:t>
        <w:br/>
        <w:t xml:space="preserve">CAIFOR […] [0-10%]  </w:t>
        <w:br/>
        <w:t xml:space="preserve">Others […] [60-70%]  </w:t>
        <w:br/>
        <w:t>TOTAL […] 100%</w:t>
      </w:r>
    </w:p>
    <w:p>
      <w:r>
        <w:t xml:space="preserve">NATIONAL MARKET OF ACCIDENT INSURANCE. 2006  </w:t>
        <w:br/>
        <w:t xml:space="preserve">In value (million euros)  </w:t>
        <w:br/>
        <w:t xml:space="preserve">Operator Million euros Share  </w:t>
        <w:br/>
        <w:t xml:space="preserve">MAPFRE SEGUROS […] [10-20%]  </w:t>
        <w:br/>
        <w:t xml:space="preserve">GENERALES  </w:t>
        <w:br/>
        <w:t xml:space="preserve">WINTERTHUR […] [0-10%]  </w:t>
        <w:br/>
        <w:t xml:space="preserve">OCASO […] [0-10%]  </w:t>
        <w:br/>
        <w:t xml:space="preserve">CAIFOR […] [0-10%]  </w:t>
        <w:br/>
        <w:t xml:space="preserve">Others […] [70-80%]  </w:t>
        <w:br/>
        <w:t>TOTAL […] 100%</w:t>
      </w:r>
    </w:p>
    <w:p>
      <w:r>
        <w:t>Source: Notification, according to CAIFOR's own data and ICEA</w:t>
      </w:r>
    </w:p>
    <w:p>
      <w:r>
        <w:t xml:space="preserve">NATIONAL MARKET OF SICKNESS AND HEALTH ASSISTANCE INSURANCE. 2006  </w:t>
        <w:br/>
        <w:t xml:space="preserve">In value (million euros)  </w:t>
        <w:br/>
        <w:t xml:space="preserve">Operator Million euros Share  </w:t>
        <w:br/>
        <w:t xml:space="preserve">ADESLAS […] [20-30%]  </w:t>
        <w:br/>
        <w:t xml:space="preserve">SANITAS […] [10-20%]  </w:t>
        <w:br/>
        <w:t xml:space="preserve">ASISA […] [10-20%]  </w:t>
        <w:br/>
        <w:t xml:space="preserve">CAIFOR […] [0-10%]  </w:t>
        <w:br/>
        <w:t xml:space="preserve">Others […] [40-50%]  </w:t>
        <w:br/>
        <w:t>TOTAL […] 100%</w:t>
      </w:r>
    </w:p>
    <w:p>
      <w:r>
        <w:t xml:space="preserve">PROVINCIAL MARKET OF SICKNESS AND HEALTH ASSISTANCE INSURANCE. 2006  </w:t>
        <w:br/>
        <w:t xml:space="preserve">Share in value (million euros)  </w:t>
        <w:br/>
        <w:t xml:space="preserve">Provinces ADESLAS CAIFOR  </w:t>
        <w:br/>
        <w:t xml:space="preserve">Granada [50-60%] [0-10%]  </w:t>
        <w:br/>
        <w:t xml:space="preserve">Jaén [50-60%] [0-10%]  </w:t>
        <w:br/>
        <w:t xml:space="preserve">Albacete [60-70%] [0-10%]  </w:t>
        <w:br/>
        <w:t xml:space="preserve">Ávila [60-70%] [0-10%]  </w:t>
        <w:br/>
        <w:t xml:space="preserve">Burgos [50-60%] [0-10%]  </w:t>
        <w:br/>
        <w:t xml:space="preserve">La Coruña [60-70%] [0-10%]  </w:t>
        <w:br/>
        <w:t xml:space="preserve">Lugo [60-70%] [0-10%]  </w:t>
        <w:br/>
        <w:t xml:space="preserve">Pontevedra [60-70%] [0-10%]  </w:t>
        <w:br/>
        <w:t xml:space="preserve">Valencia [50-60%] [0-10%]  </w:t>
        <w:br/>
        <w:t>Badajoz [50-60%] [0-10%]</w:t>
      </w:r>
    </w:p>
    <w:p>
      <w:r>
        <w:t>Source: Notification, according to CAIFOR's own data and ICEA</w:t>
      </w:r>
    </w:p>
    <w:p>
      <w:r>
        <w:t xml:space="preserve">VII. VALUATION OF THE OPERATION  </w:t>
        <w:br/>
        <w:t>The economic concentration operation consists of the acquisition of exclusive control of CAIFOR, S.A. and the companies that make up the CAIFOR group by LA CAIXA, over which it currently holds joint control with FORTIS.</w:t>
      </w:r>
    </w:p>
    <w:p>
      <w:r>
        <w:t>Therefore, the operation implies a change in the control structure of the CAIFOR group, which goes from being jointly controlled by LA CAIXA and FORTIS to being exclusively controlled by LA CAIXA, being subject to the expedited procedure provided for in Article 56 of Law 15/2007.</w:t>
      </w:r>
    </w:p>
    <w:p>
      <w:r>
        <w:t>CAIFOR is present in the insurance market, focusing its activity on the life insurance market, with its non-life insurance activities being more limited (primarily in the segments of accidents and multi-risk), while its reinsurance activities are marginal.</w:t>
      </w:r>
    </w:p>
    <w:p>
      <w:r>
        <w:t>CAIFOR's share in the life insurance market amounts to [0-10%], not exceeding [10-20%] in any of the defined segments of the corresponding national market ([0-10%] in individual life insurance, [10-20%] in group life insurance, [0-10%] in risk life insurance, and [0-10%] in savings life insurance).</w:t>
      </w:r>
    </w:p>
    <w:p>
      <w:r>
        <w:t>The acquiring group also has joint control of the insurance company ADESLAS, the leader in the Spanish market for sickness and health assistance insurance ([20-30%] of the market) and with substantial shares at the provincial level (exceeding 50% in ten provinces). In this market, CAIFOR has shares of [0-10%] in all provinces where it is present, as well as at the national level ([0-10%]), so the overlap of activities between ADESLAS and CAIFOR is not significant.</w:t>
      </w:r>
    </w:p>
    <w:p>
      <w:r>
        <w:t>In any case, the analyzed operation does not alter the existing prior situation since LA CAIXA was already the holder of the shares of both insurers.</w:t>
      </w:r>
    </w:p>
    <w:p>
      <w:r>
        <w:t>Finally, it is worth noting that the Spanish insurance market is one in which a considerable number of competitors are present, including the main foreign insurance groups, as well as banking entities, which are forcefully entering the market.</w:t>
      </w:r>
    </w:p>
    <w:p>
      <w:r>
        <w:t>The operation does not produce a substantial change in the structure of the Spanish insurance market, so it cannot be expected to pose a threat to the maintenance of effective competition therein.</w:t>
      </w:r>
    </w:p>
    <w:p>
      <w:r>
        <w:t xml:space="preserve">VIII. PROPOSAL  </w:t>
        <w:br/>
        <w:t>In light of all the above and by virtue of Article 57.1 of Law 15/2007, of July 3, on the Defense of Competition, it is proposed to authorize the concentration, in application of Article 57.2 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