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https://www.cnmc.es/expedientes/c001607</w:t>
      </w:r>
    </w:p>
    <w:p>
      <w:r>
        <w:t>Pages translated : 7</w:t>
      </w:r>
    </w:p>
    <w:p/>
    <w:p>
      <w:r>
        <w:rPr>
          <w:b/>
        </w:rPr>
        <w:t>[Pages 1–3]</w:t>
      </w:r>
    </w:p>
    <w:p>
      <w:r>
        <w:t>NATIONAL COMMISSION</w:t>
        <w:br/>
        <w:t>DIRECTORATE OF COMPETITION INVESTIGATION</w:t>
      </w:r>
    </w:p>
    <w:p>
      <w:r>
        <w:t>REPORT AND PROPOSAL FOR RESOLUTION</w:t>
        <w:br/>
        <w:t>FILE C/0016/07 RECORDATI/OE HOLDING</w:t>
      </w:r>
    </w:p>
    <w:p>
      <w:r>
        <w:t>On October 29, 2007, a notification regarding the acquisition by RECORDATI SA CHEMICAL AND PHARMACEUTICAL COMPANY (RECORDATI) of exclusive control of OE HOLDING SA (OE) through the purchase of 100% of its shares was received by this Directorate of Investigation.</w:t>
      </w:r>
    </w:p>
    <w:p>
      <w:r>
        <w:t>This notification was made by RECORDATI in accordance with Article 9 of Law 15/2007, of July 3, on the Defense of Competition for exceeding the threshold established in Article 8.1.a). This operation is subject to the provisions of Royal Decree 1443/2001, of December 21, which develops Law 16/1989, regarding the control of economic concentrations.</w:t>
      </w:r>
    </w:p>
    <w:p>
      <w:r>
        <w:t>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control of concentrations will determine the estimation of the corresponding request by administrative silence, except in the cases provided for in Articles 9.5, 55.5, and 57.2.d) of this Law."</w:t>
      </w:r>
    </w:p>
    <w:p>
      <w:r>
        <w:t>In exercise of the provisions of Article 55.4 of Law 15/2007, the Directorate General of Investigation requested the notifier on November 2, 2007, to rectify and complete the notification. The required rectification was completed on November 14, 2007.</w:t>
      </w:r>
    </w:p>
    <w:p>
      <w:r>
        <w:t>According to the above, the deadline to agree to initiate the second phase of the procedure is December 11, 2007, inclusive. After this date, the notified operation will be considered tacitly authorized.</w:t>
      </w:r>
    </w:p>
    <w:p>
      <w:r>
        <w:t>I. NATURE OF THE OPERATION</w:t>
      </w:r>
    </w:p>
    <w:p>
      <w:r>
        <w:t>The economic concentration operation consists of the acquisition by RECORDATI of exclusive control of OE HOLDING through the purchase of 100% of its shares.</w:t>
      </w:r>
    </w:p>
    <w:p>
      <w:r>
        <w:t>The operation is executed through a share purchase agreement dated September 28, 2007.</w:t>
      </w:r>
    </w:p>
    <w:p>
      <w:r>
        <w:t>C/. Barquillo, 5,</w:t>
        <w:br/>
        <w:t>28004 MADRID</w:t>
        <w:br/>
        <w:t>TEL.: 91 536 9003</w:t>
        <w:br/>
        <w:t>FAX: 91 536 9005</w:t>
      </w:r>
    </w:p>
    <w:p>
      <w:r>
        <w:t>Finally, it should be noted that the execution of the operation is conditioned upon the authorization of the operation by the competition authorities of Germany1, Portugal2, and Spain.</w:t>
      </w:r>
    </w:p>
    <w:p>
      <w:r>
        <w:t>II. ANCILLARY RESTRICTIONS</w:t>
      </w:r>
    </w:p>
    <w:p>
      <w:r>
        <w:t>II.1. Non-Compete Clause</w:t>
      </w:r>
    </w:p>
    <w:p>
      <w:r>
        <w:t>The share purchase agreement includes a non-compete covenant and a non-solicitation agreement for a period ["not exceeding three years"]3 from the closing of said agreement. According to the non-compete covenant, the seller shall refrain, directly or indirectly, from developing, registering, marketing, and distributing orphan drugs in the territories where OE Holding operates.</w:t>
      </w:r>
    </w:p>
    <w:p>
      <w:r>
        <w:t>Section 3 of Article 10 of Law 15/2007 states that "certain ancillary restrictions on competition, directly linked to the operation and necessary for its realization, may be understood to be included."</w:t>
      </w:r>
    </w:p>
    <w:p>
      <w:r>
        <w:t>Taking into account national and community precedents, as well as the Commission's Communication on restrictions directly linked to the realization of a concentration and necessary for that purpose (2005/C 56/03), this Directorate of Investigation considers that in the present case the content of the non-compete clause goes beyond what is reasonably required by the notified concentration operation, insofar as it affects all activities related to orphan drugs, and not only those orphan drugs produced by OE.</w:t>
      </w:r>
    </w:p>
    <w:p>
      <w:r>
        <w:t>Specifically, regarding the content of the non-compete covenant, it will only be considered an ancillary restriction to the extent that it affects orphan drugs produced by OE. For the rest of the orphan drugs, this non-compete covenant would, if applicable, be subject to the regulations on agreements between companies.</w:t>
      </w:r>
    </w:p>
    <w:p>
      <w:r>
        <w:t>On the contrary, the non-solicitation clause does not go beyond what is reasonably required by the notified concentration operation.</w:t>
      </w:r>
    </w:p>
    <w:p>
      <w:r>
        <w:t>III. APPLICABILITY OF LAW 15/2007 ON THE DEFENSE OF COMPETITION</w:t>
      </w:r>
    </w:p>
    <w:p>
      <w:r>
        <w:t>According to the notifier, the operation does not fall within the scope of Regulation (EC) No. 139/2004 of the Council, of January 20, on the control of concentrations between companies, as it does not exceed the thresholds of its Article 1.</w:t>
      </w:r>
    </w:p>
    <w:p>
      <w:r>
        <w:t>However, the notified operation meets the requirements established by Law 15/2007 for its notification, as it exceeds the threshold established in Article 8.1.a) of the same.</w:t>
      </w:r>
    </w:p>
    <w:p>
      <w:r>
        <w:t>Furthermore, the operation complies with the requirements set forth in Article 56.1.a) for processing as an expedited procedure, as the parties do not overlap in any horizontally or vertically related market.</w:t>
      </w:r>
    </w:p>
    <w:p>
      <w:r>
        <w:t>1 Authorized by the Bundeskartellamt on November 8, 2007.</w:t>
        <w:br/>
        <w:t>2 Decision of non-opposition by the Autoridade da Concorrência dated November 12, 2007.</w:t>
        <w:br/>
        <w:t>3 (Parts of the report whose exact content has been declared confidential are indicated in brackets).</w:t>
      </w:r>
    </w:p>
    <w:p>
      <w:r>
        <w:t>NATIONAL COMMISSION</w:t>
        <w:br/>
        <w:t>OF COMPETITION</w:t>
        <w:br/>
        <w:t>DIRECTORATE OF INVESTIGATION</w:t>
      </w:r>
    </w:p>
    <w:p>
      <w:r>
        <w:t>IV. PARTICIPATING COMPANIES</w:t>
      </w:r>
    </w:p>
    <w:p>
      <w:r>
        <w:t>IV.1. RECORDATI SA CHEMICAL AND PHARMACEUTICAL COMPANY (RECORDATI)</w:t>
      </w:r>
    </w:p>
    <w:p>
      <w:r>
        <w:t>RECORDATI is a European pharmaceutical group dedicated to the research, development, manufacturing, and marketing of pharmaceutical products.</w:t>
      </w:r>
    </w:p>
    <w:p>
      <w:r>
        <w:t>The head of the Group is RECORDATI INDUSTRIA CHIMICA E FARMACEUTICA SPA, domiciled in Italy, whose main shareholder is FIMEI FINANZIARIA INDUSTRIALE MOBILIARE ED IMMOBILIARE SPA with 51% of its share capital (owned by the RECORDATI family).</w:t>
      </w:r>
    </w:p>
    <w:p>
      <w:r>
        <w:t>The Spanish subsidiary of RECORDATI is RECORDATI ESPAÑA S.L., whose activity is currently focused on the distribution, promotion, and marketing of pharmaceutical products, both from its own research and from licenses.</w:t>
      </w:r>
    </w:p>
    <w:p>
      <w:r>
        <w:t>The turnover of RECORDATI in the last three financial years, in accordance with Article 3 of Royal Decree 1443/2001, is, according to the notifier, as follows:</w:t>
      </w:r>
    </w:p>
    <w:p>
      <w:r>
        <w:t>Sales volume of the RECORDATI Group</w:t>
        <w:br/>
        <w:t>(millions of euros)</w:t>
        <w:br/>
        <w:t>2004 2005 2006</w:t>
        <w:br/>
        <w:t>Worldwide [&lt;5000] [&lt;5000] [&lt;5000]</w:t>
        <w:br/>
        <w:t>European Union [&gt;250] [&gt;250] [&gt;250]</w:t>
        <w:br/>
        <w:t>Spain [&lt;60] [&lt;60] [&lt;60]</w:t>
        <w:br/>
        <w:t>Source: Notification. Including the sales of JABA FARMACEUTICA (Portuguese subsidiary) acquired in 2006 and not consolidated in the Group's annual accounts, the sales in 2006 would be: Worldwide [&lt;5000] million euros, EU [&gt;250] and Spain [&lt;60].</w:t>
      </w:r>
    </w:p>
    <w:p>
      <w:r>
        <w:t>IV.2 OE HOLDING (OE)</w:t>
      </w:r>
    </w:p>
    <w:p>
      <w:r>
        <w:t>OE is a company domiciled in France and a holding company of the ORPHAN EUROPE Group, dedicated to the manufacture and distribution of orphan drugs4 with a presence in 15 countries.</w:t>
      </w:r>
    </w:p>
    <w:p>
      <w:r>
        <w:t>The Group has a subsidiary in Spain, ORPHAN EUROPE S.L., which is dedicated to the distribution of products coming from the Paris distribution department.</w:t>
      </w:r>
    </w:p>
    <w:p>
      <w:r>
        <w:t>In 2007, the drugs marketed in Spain are as follows: Adagen, Sucraïd, Normosang, Cystagon, Pedea, Carbaglu, Wilzin, Cystadane, and Cyanokit.</w:t>
      </w:r>
    </w:p>
    <w:p>
      <w:r>
        <w:t>77% of OE's share capital is held by individuals5, while the remaining 23% belongs to the company QUILVEST FRANCE.</w:t>
      </w:r>
    </w:p>
    <w:p>
      <w:r>
        <w:t>4 In accordance with Article 3 of Regulation (EC) No. 141/2000 of the European Parliament and of the Council, of December 16, 1999, on orphan drugs, a drug must be considered orphan if: (i) it is intended for the diagnosis, prevention, or treatment of a life-threatening condition or one that causes chronic disability and that does not affect more than five persons per ten thousand in the Community at the time of application; or it is intended for the diagnosis, prevention, or treatment, in the Community, of a life-threatening condition or one that causes severe disability, or of a serious and chronic condition, and it is unlikely that, without incentives, the marketing of that drug in the Community will generate sufficient benefits to justify the necessary investment; and (ii) there is no satisfactory authorized method in the Community for the diagnosis, prevention, or treatment of that condition, or that, if it exists, the drug will provide a significant benefit to those suffering from that condition.</w:t>
      </w:r>
    </w:p>
    <w:p>
      <w:r>
        <w:t>5 […]</w:t>
      </w:r>
    </w:p>
    <w:p>
      <w:r>
        <w:t>NATIONAL COMMISSION</w:t>
        <w:br/>
        <w:t>OF COMPETITION</w:t>
        <w:br/>
        <w:t>DIRECTORATE OF INVESTIGATION</w:t>
      </w:r>
    </w:p>
    <w:p>
      <w:r>
        <w:rPr>
          <w:b/>
        </w:rPr>
        <w:t>[Pages 4–6]</w:t>
      </w:r>
    </w:p>
    <w:p>
      <w:r>
        <w:t>The billing of OE in the last three financial years, in accordance with Article 3 of Royal Decree 1443/2001, is, according to the notifier, as follows:</w:t>
      </w:r>
    </w:p>
    <w:p>
      <w:r>
        <w:t>Sales volume of OE</w:t>
        <w:br/>
        <w:t>(millions of euros)</w:t>
        <w:br/>
        <w:t>2004 2005 2006</w:t>
        <w:br/>
        <w:t>Worldwide [&lt;5000] [&lt;5000] [&lt;5000]</w:t>
        <w:br/>
        <w:t>European Union [&lt;250] [&lt;250] [&lt;250]</w:t>
        <w:br/>
        <w:t>Spain [&lt;60] [&lt;60] [&lt;60]</w:t>
        <w:br/>
        <w:t>Source: Notification</w:t>
      </w:r>
    </w:p>
    <w:p>
      <w:r>
        <w:t>V. RELEVANT MARKETS</w:t>
      </w:r>
    </w:p>
    <w:p>
      <w:r>
        <w:t>V.1 Product Markets</w:t>
      </w:r>
    </w:p>
    <w:p>
      <w:r>
        <w:t>Both companies are present in the market of pharmaceutical specialties defined, in accordance with both the precedents of the European6 and Spanish7 competition authorities, based on the Anatomical, Therapeutic, and Chemical Classification (Anatomical Therapeutical Classification - ATC), designed by the EUROPEAN PHARMACEUTICAL RESEARCH ASSOCIATION (EPhMRA) and used by the World Health Organization (WHO) for conducting its market measurements in the pharmaceutical sector.</w:t>
      </w:r>
    </w:p>
    <w:p>
      <w:r>
        <w:t>The level commonly used by the various competition authorities is ATC3, which categorizes medicines based on their therapeutic indications (final use). In fact, the notifier considers this criterion when defining the market.</w:t>
      </w:r>
    </w:p>
    <w:p>
      <w:r>
        <w:t>The notifier indicates that based on the ATC3 classification there is no overlap between the activities of the parties. The markets in which ORPHAN EUROPE operates are as follows:</w:t>
        <w:br/>
        <w:t>• ATC Class A16A (other products for the alimentary tract and metabolism) which includes its products Carbaglu, Cystadane, Cystagon, and Sucraïd.</w:t>
        <w:br/>
        <w:t>• ATC Class C6A (other cardiovascular products) which includes its product Pedea.</w:t>
        <w:br/>
        <w:t>• ATC Class B6C (other hematological agents) which includes its product Normosang.</w:t>
        <w:br/>
        <w:t>• ATC Class V3E (Antidotes) which includes its products Wilzin and Cyanokit.</w:t>
        <w:br/>
        <w:t>• ATC Class L3A (Cytokines and immunostimulants) which includes its product Adagen.</w:t>
      </w:r>
    </w:p>
    <w:p>
      <w:r>
        <w:t>All of the acquired products belong to the group of orphan drugs.</w:t>
      </w:r>
    </w:p>
    <w:p>
      <w:r>
        <w:t>Notwithstanding the above, the European Commission is also of the opinion that “in some cases, it may be necessary to analyze pharmaceutical products at a higher, lower, or mixed level or subdivide the ATC3 classes based on demand-related criteria8.” In this line, the Spanish competition authorities have stated that “the ATC3 level is not always appropriate, and it is necessary to consider a more restricted definition of the market. In the case of specialties belonging to the same ATC3 with clearly different and non-substitutable indications9.”</w:t>
      </w:r>
    </w:p>
    <w:p>
      <w:r>
        <w:t>According to the definition of orphan drug, developed to treat diseases for which there is no medicine or, if there is, it is not effective, it will practically be difficult to find substitute products for such medicines, which could lead to the assertion that each orphan drug could constitute a relevant market in itself.</w:t>
      </w:r>
    </w:p>
    <w:p>
      <w:r>
        <w:t>Regarding products in the development phase, there is also no overlap based on the ATC3 classification. ORPHAN EUROPE is present in the following markets: ATC Class A11X (with the product Vedrop), ATC Class D5X (with the product PI-0824), ATC Class S1X (with the product Cystadrops), and a last product at the basic research level called NCE.</w:t>
      </w:r>
    </w:p>
    <w:p>
      <w:r>
        <w:t>In light of the above considerations and since the valuation of the operation does not vary substantially regardless of the more or less precise definition of the relevant product markets, this Directorate of Investigation does not consider it necessary to finalize the definition of the product market for the purposes of this operation, so within the framework of the same, the markets will be analyzed according to the ATC3 classification, in which the companies' market share exceeds 10%, that is, the B6C market (in which OE markets Normosang) and the V3E market (in which OE markets the products Wilzin and Cyanokit), as well as the more restricted market of each orphan drug in particular.</w:t>
      </w:r>
    </w:p>
    <w:p>
      <w:r>
        <w:t>V.2 Geographic Market</w:t>
      </w:r>
    </w:p>
    <w:p>
      <w:r>
        <w:t>According to the precedents mentioned above, the defined markets are of a national nature, despite the current trend towards legislative harmonization at the European level for pharmaceutical specialties, resulting from the transposition into national legal systems of numerous community directives regulating the health conditions required for the marketing of pharmaceutical specialties.</w:t>
      </w:r>
    </w:p>
    <w:p>
      <w:r>
        <w:t>VI. MARKET ANALYSIS</w:t>
      </w:r>
    </w:p>
    <w:p>
      <w:r>
        <w:t>The market shares of ORPHAN EUROPE and its competitors in the various product markets during the last three financial years in Spain are reflected in the tables presented below:</w:t>
      </w:r>
    </w:p>
    <w:p>
      <w:r>
        <w:t>SPANISH MARKET OF ATC 3: B6C</w:t>
        <w:br/>
        <w:t>(OTHER HEMATOLOGICAL AGENTS)</w:t>
        <w:br/>
        <w:t>2004 2005 2006</w:t>
        <w:br/>
        <w:t>COMPANY (PRODUCT)</w:t>
        <w:br/>
        <w:t>ORPHAN EUROPE (Normosang) [50-60]% [50-60]% [50-60]%</w:t>
        <w:br/>
        <w:t>FRESENIUS KABI (Aminopaed) [40-50]% [40-50]% [40-50]%</w:t>
        <w:br/>
        <w:t>TOTAL MARKET 100% 100% 100%</w:t>
      </w:r>
    </w:p>
    <w:p>
      <w:r>
        <w:t>SPANISH MARKET OF ATC 3: V3E</w:t>
        <w:br/>
        <w:t>(ANTIDOTES)</w:t>
        <w:br/>
        <w:t>2004 2005 2006</w:t>
        <w:br/>
        <w:t>COMPANY (PRODUCT)</w:t>
        <w:br/>
        <w:t>ORPHAN EUROPE (Wilzin) [0-10]% [0-10]% [10-20]%</w:t>
        <w:br/>
        <w:t>LAINCO (Carbón Ultra Absor) [70-80]% [60-70]% [50-60]%</w:t>
        <w:br/>
        <w:t>ZAMBON (Flumil Antidoto) [0-10]% [0-10]% [0-10]%</w:t>
        <w:br/>
        <w:t>ARAFARMA (Anticude) [0-10]% [0-10]% [0-10]%</w:t>
        <w:br/>
        <w:t>MADAUS (Legalon sil) [10-20]% [20-30]% [20-30]%</w:t>
        <w:br/>
        <w:t>TOTAL MARKET 100% 100% 100%</w:t>
        <w:br/>
        <w:t>Source: Notification</w:t>
      </w:r>
    </w:p>
    <w:p>
      <w:r>
        <w:t>Total sales in the B6C market amounted to […] million euros in Spain in 2006, while in the V3E market they were […] million euros.</w:t>
      </w:r>
    </w:p>
    <w:p>
      <w:r>
        <w:t>If it were considered that each orphan drug is a relevant market in itself, the OE Group would have a share of [90-100]% in each of the relevant markets corresponding to each of the products transferred to RECORDATI as a result of the operation.</w:t>
      </w:r>
    </w:p>
    <w:p>
      <w:r>
        <w:t>VII. VALUATION OF THE OPERATION</w:t>
      </w:r>
    </w:p>
    <w:p>
      <w:r>
        <w:t>The economic concentration operation analyzed consists of RECORDATI's acquisition of exclusive control of OE through the purchase of 100% of its shares.</w:t>
      </w:r>
    </w:p>
    <w:p>
      <w:r>
        <w:t>The non-compete agreement is not considered an ancillary restriction to the operation in what exceeds the activities of orphan drugs carried out by OE, being, in its case, subject to the regulations on agreements between companies.</w:t>
      </w:r>
    </w:p>
    <w:p>
      <w:r>
        <w:t>Both parties in the operation are present in the market of pharmaceutical specialties, with the acquired company specializing in the manufacture and distribution of orphan drugs.</w:t>
      </w:r>
    </w:p>
    <w:p>
      <w:r>
        <w:t>As a result of the operation, there is no overlap either horizontally or vertically between their activities, and the expedited procedure provided for in Article 56 a) of Law 15/2007 is applicable.</w:t>
      </w:r>
    </w:p>
    <w:p>
      <w:r>
        <w:t>In this operation, there is no horizontal addition of shares in any of the affected markets, and negative conglomerate effects are not foreseeable, among other reasons, because RECORDATI is not active in orphan drugs.</w:t>
      </w:r>
    </w:p>
    <w:p>
      <w:r>
        <w:t>The acquired market shares only exceed 30% in the broader ATC3 market: B6C (in which OE markets Normosang) with a share reaching [50-60]%. However, if a more restricted product market definition is considered for each orphan drug, the market share would reach [90-100]% in each of them.</w:t>
      </w:r>
    </w:p>
    <w:p>
      <w:r>
        <w:t>RECORDATI sells its products to wholesale laboratories that in turn sell them to pharmacies or hospital pharmacy services, while OE primarily sells its products to both public and private hospitals that typically resort to public tenders for their supply.</w:t>
      </w:r>
    </w:p>
    <w:p>
      <w:r>
        <w:t>Moreover, most of the acquired medicines are included in the list of products that are reimbursed by the Spanish Social Security system and are subject to...</w:t>
      </w:r>
    </w:p>
    <w:p>
      <w:r>
        <w:rPr>
          <w:b/>
        </w:rPr>
        <w:t>[Pages 7–7]</w:t>
      </w:r>
    </w:p>
    <w:p>
      <w:r>
        <w:t>to the system of price limits established in the Pharmaceutical Law.</w:t>
      </w:r>
    </w:p>
    <w:p>
      <w:r>
        <w:t>Taking the above into account, and in particular that the operation does not modify the structure of supply in the markets indicated in Spain, it cannot be expected that the concentration operation poses a threat to effective competition in those markets.</w:t>
      </w:r>
    </w:p>
    <w:p>
      <w:r>
        <w:t>VIII. PROPOSAL</w:t>
      </w:r>
    </w:p>
    <w:p>
      <w:r>
        <w:t>In light of all the above and by virtue of Article 57.1 of Law 15/2007, of July 3, on the Defense of Competition, it is proposed to authorize the concentration, in application of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