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https://www.cnmc.es/expedientes/c001907</w:t>
      </w:r>
    </w:p>
    <w:p>
      <w:r>
        <w:t>Pages translated : 5</w:t>
      </w:r>
    </w:p>
    <w:p/>
    <w:p>
      <w:r>
        <w:rPr>
          <w:b/>
        </w:rPr>
        <w:t>[Pages 1–3]</w:t>
      </w:r>
    </w:p>
    <w:p>
      <w:r>
        <w:t>NATIONAL COMMISSION FOR COMPETITION RESOLUTION (File C-0019/07, LANDON/SEDAL) COUNCIL Mr. Luis Berenguer Fuster, President Mr. Fernando Torremocha García-Sáenz, Councilor Mr. Emilio Conde Fernández Oliva, Councilor Mr. Miguel Cuerdo Mir, Councilor Ms. Pilar Sánchez Núñez, Councilor Mr. Julio Costas Comesaña, Councilor Ms. Mª Jesús González López, Councilor Ms. Inmaculada Gutiérrez Carrizo, Councilor In Madrid, on November 29, 2007. Considering the notification submitted in accordance with Article 9 of Law 15/2007, of July 3, on the Defense of Competition, regarding the economic concentration operation consisting of the acquisition by LANDON INVESTMENTS S.A. of exclusive control over the company SEDAL S.A. (File C/0019/07)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C/0019/07 LANDON / SEDAL On November 13, 2007, the Directorate of Investigation received the concentration operation consisting of the acquisition by Landon Investments SCR S.A. (“LANDON”) of exclusive control over the company Sedal S.A. (“SEDAL”). This notification was made by LANDON, in accordance with Article 9 of Law 15/2007, of July 3, on the Defense of Competition (hereinafter “LDC”) for exceeding the threshold established in Article 8.1.b) of the aforementioned regulation. This operation is subject to the provisions of Royal Decree 1443/2001, of December 21, which develops Law 16/1989, regarding the control of economic concentrations. Article 57.2.c) of the LDC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Likewise, Article 38.2 of the LDC adds: "The expiration of the maximum period established in Article 36.2.a) of this Law for the resolution in the first phase of control of concentrations shall determine the acceptance of the corresponding request by administrative silence, except in the cases provided for in Articles 9.5, 55.5, and 57.2.d) of this Law." According to the above, the deadline to agree to initiate the second phase of the procedure is December 13, 2007, inclusive. After this date, the notified operation will be considered tacitly authorized.</w:t>
      </w:r>
    </w:p>
    <w:p>
      <w:r>
        <w:t>I. NATURE OF THE OPERATION The economic concentration operation consists of the acquisition by LANDON of exclusive control over the company SEDAL. The concentration operation is executed through a purchase agreement for 100% of the share capital of SEDAL […]. This operation falls within the scope of Article 7.1.b) of the LDC.</w:t>
      </w:r>
    </w:p>
    <w:p>
      <w:r>
        <w:t>II. APPLICABILITY OF LAW 15/2007 ON THE DEFENSE OF COMPETITION The operation is not of community dimension, as it does not reach the thresholds established in paragraphs 2 and 3 of Article 1 of Council Regulation (EC) No. 139/2004, of January 20, 2004, on the control of concentrations between companies. The notified operation meets the requirements set forth by the LDC for its notification, as it exceeds the threshold established in Article 8.1.b) thereof. C/. Barquillo, 5, 28004 MADRID TEL.: 91 536 9003 FAX: 91 536 9005</w:t>
      </w:r>
    </w:p>
    <w:p>
      <w:r>
        <w:t>The operation complies with the requirements set forth in Article 56.1.a) for its processing as an expedited procedure, insofar as there is no horizontal or vertical overlap between the parties.</w:t>
      </w:r>
    </w:p>
    <w:p>
      <w:r>
        <w:t>III. PARTICIPATING COMPANIES</w:t>
      </w:r>
    </w:p>
    <w:p>
      <w:r>
        <w:t>III.1 LANDON INVESTMENTS SCR S.A. (LANDON) LANDON is a venture capital company controlled by GRUPO CORPORATIVO LANDON S.L. (80%) and participated by Revelam S.L. (10%) and Zanax S.L. (10%). In turn, GRUPO CORPORATIVO LANDON is jointly controlled by Revelam Química S.L. and Chemtop S.L., which have as sole investors Revelam S.L. and Zanax S.L., respectively. The notifier declares that neither LANDON nor any of the companies in the group carry out activities in the market where SEDAL is located nor in any other related market. Apart from SDL, LANDON exclusively or jointly controls several companies (by virtue of shareholder agreements), none of which are related to the relevant market for the purposes of this operation1.</w:t>
      </w:r>
    </w:p>
    <w:p>
      <w:r>
        <w:t>III.2 SEDAL, S.A. (SEDAL) SEDAL is a company whose corporate purpose consists of the manufacture, purchase, sale, and distribution of various components for the sanitary faucet industry, and in particular, the manufacture and sale of mixing cartridges for single-handle faucets. SEDAL owns a Chinese subsidiary, KAIPING SEDAL TAP COMPONENTS CO. LTD., which is also subject to acquisition (hereinafter, both companies will be identified as “SEDAL”), and whose corporate purpose is the manufacture and sale of single-handle cartridges and other faucet components. The owners of SEDAL are Mr. Jorge Bonada Peñalver (4.99%), ESPIGA CAPITAL INVERSIÓN, SOCIEDAD DE CAPITAL RIESGO, S.A. (63.02%), and BARING IBERIA INVERSIÓN EN CAPITAL, FONDO DE CAPITAL RIESGO (31.99%).</w:t>
      </w:r>
    </w:p>
    <w:p>
      <w:r>
        <w:t>IV. RELEVANT MARKETS</w:t>
      </w:r>
    </w:p>
    <w:p>
      <w:r>
        <w:t>IV.1. Product Markets The acquired company is present in the manufacture of components for faucets. In particular, approximately […] of SEDAL's production focuses on the manufacture and sale of mixing cartridges for single-handle faucets2. 1 Infinia (49.05%), Picking Pack Productos de Oficina, S.L. (37.30%), Bellsola S.A. (43.45%), Insago PVC S.A. (35.03%), Everis (6.01%), Sagatu Asociados Comercial hotelera S.L. (47.37%), which, in turn, controls Girfood S.L. and Hoteles Albacete 2005 S.L. The GRUPO CORPORATIVO LANDON also owns 100% of the company ALCOTAS S.L., a company based in Madrid whose corporate purpose is the leasing of real estate. ALCOTAS S.L. is, in turn, the owner of 55% of the company ALCOTAS HOTELES S.L., based in the Balearic Islands and whose corporate purpose is the provision of lodging services (hotels and guesthouses). 2 There are various types of faucets, among which single-handle faucets stand out, which allow the flow of cold and hot water through the operation of a single piece (handle). According to public information, 72% of the faucets marketed in Spain in 2006 were single-handle faucets. This type of faucet is composed of various components, among which is the mixing cartridge. NATIONAL COMMISSION FOR COMPETITION DIRECTORATE OF INVESTIGATION</w:t>
      </w:r>
    </w:p>
    <w:p>
      <w:r>
        <w:rPr>
          <w:b/>
        </w:rPr>
        <w:t>[Pages 4–5]</w:t>
      </w:r>
    </w:p>
    <w:p>
      <w:r>
        <w:t>The mixing cartridge of a single-handle faucet is the component that allows the mixing of cold water with hot water, while also regulating the water flow. Although there are mechanisms that can potentially fulfill the same function (the so-called ball and piston systems), these are not marketed in Spain.</w:t>
      </w:r>
    </w:p>
    <w:p>
      <w:r>
        <w:t>In view of the precedents of the European Commission3 and the Competition Defense Service4, and given the functioning of the market itself, the notifier considers that the market for sanitary faucet components cannot be defined broadly.</w:t>
      </w:r>
    </w:p>
    <w:p>
      <w:r>
        <w:t>Therefore, the notifier proposes to define a specific market for mixing cartridges for single-handle faucets, as from the demand perspective, these products are not easily substitutable by others, and from the supply perspective, there is also no substitutability, as they have specific technologies and inputs.</w:t>
      </w:r>
    </w:p>
    <w:p>
      <w:r>
        <w:t>Furthermore, the notifier considers it appropriate to proceed with a subdivision of the market for mixing cartridges for single-handle faucets into two distinct markets: a "free market," or sale of standard cartridges from the manufacturers' catalog; and a "captive or custom market" in which faucet manufacturers order cartridges from manufacturers with the technical characteristics they choose, which generally cannot be sold to third parties, and where the customer has more negotiating power.</w:t>
      </w:r>
    </w:p>
    <w:p>
      <w:r>
        <w:t>On the other hand, the notifier indicates that SEDAL's presence in the manufacturing of other components for faucets is not significant5, so for the purposes of this operation, it is not necessary to conduct an analysis of them.</w:t>
      </w:r>
    </w:p>
    <w:p>
      <w:r>
        <w:t>In accordance with all of the above, this Directorate of Investigation will analyze the impact of the concentration operation in two relevant product markets: (i) the free market for the manufacture and sale of mixing cartridges for single-handle faucets; and (ii) the captive market for the manufacture and sale of mixing cartridges for single-handle faucets.</w:t>
      </w:r>
    </w:p>
    <w:p>
      <w:r>
        <w:t>IV.2. Geographic Market</w:t>
      </w:r>
    </w:p>
    <w:p>
      <w:r>
        <w:t>Regarding the relevant geographic market, the notifier considers that the geographic scope of the market for mixing cartridges for single-handle faucets, both in the case of the captive market and the free market, is supranational. According to the notifier, the transportation of these types of products does not involve complex operations and the corresponding costs are not significant.</w:t>
      </w:r>
    </w:p>
    <w:p>
      <w:r>
        <w:t>However, the notifying party limits itself to presenting the figures related to the Spanish market, due to existing statistical limitations.</w:t>
      </w:r>
    </w:p>
    <w:p>
      <w:r>
        <w:t>This Directorate of Investigation understands that, for the purposes of analyzing this operation and given the absence of horizontal addition of shares, it is not appropriate to close the exact definition of the geographic market and, therefore, the impact of the operation will be assessed in the Spanish market.</w:t>
      </w:r>
    </w:p>
    <w:p>
      <w:r>
        <w:t xml:space="preserve">3 Cases IV/M.164 Mannesmann/VDO; IV/M.1189 Teksid, Morsk, Hydro, Produksjon, Meridian; and IV/M.1578 Sanitec/Sphinx. </w:t>
        <w:br/>
        <w:t xml:space="preserve">4 Report of the Competition Defense Service, exp. N-05042, Heating Products Iberia/Roca Calefacción. </w:t>
        <w:br/>
        <w:t>5 According to the notifier, in none of the possible definitions of the markets for these faucet components does the share exceed 25%.</w:t>
      </w:r>
    </w:p>
    <w:p>
      <w:r>
        <w:t>V. MARKET ANALYSIS</w:t>
      </w:r>
    </w:p>
    <w:p>
      <w:r>
        <w:t>According to the notifier, SEDAL's share in the market for mixing cartridges for single-handle faucets in 2006 is [10-20]% in the national free market and [30-40]% in the national captive market.</w:t>
      </w:r>
    </w:p>
    <w:p>
      <w:r>
        <w:t>The concentration operation does not change this share.</w:t>
      </w:r>
    </w:p>
    <w:p>
      <w:r>
        <w:t>VI. ASSESSMENT OF THE OPERATION</w:t>
      </w:r>
    </w:p>
    <w:p>
      <w:r>
        <w:t>The economic concentration operation consists of LANDON acquiring exclusive control over SEDAL, acquiring its position in the markets for faucet components.</w:t>
      </w:r>
    </w:p>
    <w:p>
      <w:r>
        <w:t>The operation does not lead to horizontal or vertical overlaps in the relevant markets, nor does it modify the structure of the supply. In particular, LANDON acquires SEDAL's shares in the free and captive markets for mixing cartridges for single-handle faucets in Spain, of [10-20]% and [30-40]% respectively.</w:t>
      </w:r>
    </w:p>
    <w:p>
      <w:r>
        <w:t>Taking this into account, it cannot be expected that the operation poses a threat to competition in the relevant markets.</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