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https://www.cnmc.es/expedientes/c002307</w:t>
      </w:r>
    </w:p>
    <w:p>
      <w:r>
        <w:t>Pages translated : 7</w:t>
      </w:r>
    </w:p>
    <w:p/>
    <w:p>
      <w:r>
        <w:rPr>
          <w:b/>
        </w:rPr>
        <w:t>[Pages 1–3]</w:t>
      </w:r>
    </w:p>
    <w:p>
      <w:r>
        <w:t>NATIONAL COMMISSION FOR COMPETITION RESOLUTION (File C-0023/07, FENDER/KMC) COUNCIL Mr. Luis Berenguer Fuster, President Mr. Fernando Torremocha García-Sáenz, Councilor Mr. Emilio Conde Fernández Oliva, Councilor Mr. Miguel Cuerdo Mir, Councilor Ms. Pilar Sánchez Núñez, Councilor Mr. Julio Costas Comesaña, Councilor Ms. Mª Jesús González López, Councilor Ms. Inmaculada Gutiérrez Carrizo, Councilor In Madrid, on December 13, 2007. Considering the notification submitted in accordance with Article 9 of Law 15/2007, of July 3, on the Defense of Competition, regarding the economic concentration operation consisting of the acquisition by FENDER MUSICAL INSTRUMENTS of exclusive control over KAMAN MUSIC CORPORATION (File C/0023/07) and agreeing with the report and proposal submitted by the Directorate of Investigation, the Council of the National Commission for Competition has resolved, in application of Article 57.2.a) of the aforementioned Law, to authorize the said concentration operation in the first phase. 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1</w:t>
      </w:r>
    </w:p>
    <w:p>
      <w:r>
        <w:t>NATIONAL COMMISSION DIRECTORATE OF COMPETITION INVESTIGATION REPORT AND PROPOSED RESOLUTION FILE C/0023/07 FENDER / KMC On November 22, 2007, a notification was received by this Directorate of Investigation regarding the acquisition by FENDER Musical Instruments (hereinafter FENDER) of exclusive control over Kaman Music Corporation (hereinafter KMC). This notification was made by FENDER in accordance with Article 9 of Law 15/2007, of July 3, on the Defense of Competition, for exceeding the threshold established in Article 8.1.a). This operation is subject to the provisions of Royal Decree 1443/2001, of December 21, which develops Law 16/1989, concerning the control of economic concentrations. 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 Furthermore, Article 38.2 of Law 15/2007 adds: "The passage of the maximum period established in Article 36.2.a) of this Law for the resolution in the first phase of concentration control shall determine the estimation of the corresponding request by administrative silence, except in the cases provided for in Articles 9.5, 55.5, and 57.2.d) of this Law." The deadline for submitting the file in the first phase is December 22, 2007, inclusive. After this date, the notified operation shall be considered tacitly authorized. I. NATURE OF THE OPERATION The notified operation consists of the acquisition by Fender Musical Instruments Corp. (FENDER) of exclusive control over Kaman Music Corporation (KMC), by virtue of a purchase agreement for the entirety of the share capital of the latter. The execution of the operation is conditioned upon authorization by the competition authorities of Germany and Spain. II. ANCILLARY RESTRICTIONS II.1. Non-solicitation Clause Clause 8.2 of the purchase agreement establishes the prohibition, by the seller, of hiring employees of KMC for a period [not exceeding three years]. 1 The information contained in brackets has been declared confidential. C/. Barquillo, 5, 28004 MADRID TEL.: 91 536 9003 FAX: 91 536 9005 Paragraph 3 of Article 10 of Law 15/2007 states that "certain ancillary restrictions to competition, directly linked to the transaction and necessary for its implementation, may be understood to be included." Taking into account national and community precedents, as well as the Commission's Notice on restrictions directly related and necessary for concentrations (2005/C56/03), it is considered that in the present case, the duration and content of the non-solicitation clause do not go beyond what is reasonably required by the notified concentration operation, thus being considered as an integral part of the operation. III. APPLICABILITY OF LAW 15/2007 ON THE DEFENSE OF COMPETITION According to the notifying party, the operation does not fall within the scope of Regulation (EC) No. 139/2004 of the Council, of January 20, on the control of concentrations between undertakings, as it does not exceed the thresholds of its Article 1. The notified operation, however, meets the requirements established by Law 15/2007 for its notification, as the threshold established in Article 8.1.a) of the same has been exceeded. IV. PARTICIPATING COMPANIES IV.1. Fender Musical Instruments Corp. (FENDER) FENDER is the parent company of the FENDER Group active in the musical instruments and equipment sector. In Spain, it has been present since 2002 through its subsidiary Fender Ibérica, S.L., which is responsible for the distribution in Spain and Portugal of all FENDER products. FENDER is participated by the investment fund "Weston Presidio," which holds 45.05% of the total voting shares. The next largest voting shareholders are three companies that together control 21.3% of FENDER. The rest of FENDER's share capital is widely distributed. FENDER currently markets electric guitars (including basses), acoustic guitars, amplifiers, audio equipment (speakers, mixers, audio systems), and accessories under various brands. 2 Due to its significant participation and a management agreement whereby the companies of the investment fund have the right to consult and advise the management of FENDER on relevant business matters, it cannot be ruled out that Weston Presidio holds control over FENDER. However, this fact does not alter the analysis of the operation as Weston Presidio's sales in Spain amount to [&lt;60] million euros and have been generated through companies that are not present in the relevant markets of the operation. 3 Registered brands in Spain: electric guitars (Fender, Squier, and Starcaster); acoustic guitars (Fender and Guild); amplifiers (Tone Master). NATIONAL COMMISSION FOR COMPETITION DIRECTORATE OF INVESTIGATION</w:t>
      </w:r>
    </w:p>
    <w:p>
      <w:r>
        <w:rPr>
          <w:b/>
        </w:rPr>
        <w:t>[Pages 4–6]</w:t>
      </w:r>
    </w:p>
    <w:p>
      <w:r>
        <w:t>The billing of FENDER in the last three financial years, in accordance with Article 3 of R.D.1443/2001, is, according to the notifier, as follows:</w:t>
        <w:br/>
        <w:t>Turnover of FENDER</w:t>
        <w:br/>
        <w:t>(Million euros)</w:t>
        <w:br/>
        <w:t>2004 2005 2006</w:t>
        <w:br/>
        <w:t>Worldwide [&lt;2,500] [&lt;2,500] [&lt;2,500]</w:t>
        <w:br/>
        <w:t>European Union [&lt;250] [&lt;250] [&lt;250]</w:t>
        <w:br/>
        <w:t>Spain [&lt;60] [&lt;60] [&lt;60]</w:t>
        <w:br/>
        <w:t>Source: Notification</w:t>
        <w:br/>
        <w:t>IV.2. Kaman Music Corporation (KMC)</w:t>
        <w:br/>
        <w:t xml:space="preserve">KMC is a subsidiary of Kaman Corporation, a company listed on the NASDAQ index and present in the following sectors: aerospace; distribution of power transmission products; and musical instruments. In this last area of activity, KMC markets its products in Spain through an independent distributor (Music Distribución S.A.). KMC distributes electric guitars, acoustic guitars, percussion instruments, amplifiers, and accessories under different brands. </w:t>
        <w:br/>
        <w:t>The billing of KMC in the last three financial years, in accordance with Article 3 of R.D.1443/2001, is as follows:</w:t>
        <w:br/>
        <w:t>Turnover of KMC</w:t>
        <w:br/>
        <w:t>(Million euros)</w:t>
        <w:br/>
        <w:t>2004 2005 2006</w:t>
        <w:br/>
        <w:t>Worldwide [&lt;2,500] [&lt;2,500] [&lt;2,500]</w:t>
        <w:br/>
        <w:t>European Union [&lt;250] [&lt;250] [&lt;250]</w:t>
        <w:br/>
        <w:t>Spain [&lt;60] [&lt;60] [&lt;60]</w:t>
        <w:br/>
        <w:t>Source: Notification</w:t>
        <w:br/>
        <w:t>V. RELEVANT MARKETS</w:t>
        <w:br/>
        <w:t>V.1. Product Market</w:t>
        <w:br/>
        <w:t xml:space="preserve">The activities of the companies participating in the operation fall within the market for the production and distribution of musical instruments. </w:t>
        <w:br/>
        <w:t xml:space="preserve">There is a precedent in the European Commission where the following markets were differentiated: (i) electric guitars; (ii) acoustic guitars; (iii) amplifiers; (iv) percussion instruments. </w:t>
        <w:br/>
        <w:t xml:space="preserve">Without prejudice to the fact that the companies supply both types of guitars, according to the precedent, it is appropriate to distinguish between electric and acoustic guitars as two separate markets. Both are differentiated by the way sound is generated (acoustic guitars sound by themselves due to having a resonance box, while electric guitars require an external amplification system to reproduce sound), the mode of use, the type of sounds they emit, their applications, and the price. </w:t>
        <w:br/>
        <w:t xml:space="preserve">Of the markets in which the parties involved in the operation participate, there is only overlap in the markets for electric guitars, acoustic guitars, and amplifiers. Of these, only in the electric guitar market does the resulting share exceed 30% in Spain, which will be the only market analyzed. According to the notifier, in the acoustic guitar market and in the amplifier market, the combined market share is below 10% in Spain. </w:t>
        <w:br/>
        <w:t xml:space="preserve">In the percussion instrument market where there is no overlap, KMC has a share of [10-20%] in Spain. </w:t>
        <w:br/>
        <w:t xml:space="preserve">In light of the above considerations, the Directorate of Investigation will analyze the impact of the operation in the electric guitar market. </w:t>
        <w:br/>
        <w:t>V.2. Geographic Market</w:t>
        <w:br/>
        <w:t xml:space="preserve">In the cited community precedent, a national geographic market was considered, due to the fact that distribution networks are organized on a national basis and the notable differences that can be observed between different countries in prices, tastes, and musical traditions. </w:t>
        <w:br/>
        <w:t xml:space="preserve">Given the limited impact of the operation on competition, the precise definition of the geographic market may be left open, although an analysis will be conducted from a national perspective for the purposes of this operation. </w:t>
        <w:br/>
        <w:t>VI. MARKET ANALYSIS</w:t>
        <w:br/>
        <w:t>VI.1.- Supply Structure</w:t>
        <w:br/>
        <w:t>The following two tables include the market shares of the parties and their main competitors in Spain, in the relevant market of electric guitars, over the last three years.</w:t>
        <w:br/>
        <w:t>Electric Guitar Market in Spain</w:t>
        <w:br/>
        <w:t>(in value)</w:t>
        <w:br/>
        <w:t>Company 2004 2005 2006</w:t>
        <w:br/>
        <w:t>Fender [30-40%] [40-50%] [40-50%]</w:t>
        <w:br/>
        <w:t>KMC [0-10%] [0-10%] [0-10%]</w:t>
        <w:br/>
        <w:t>Fender + KMC [30-40%] [40-50%] [40-50%]</w:t>
        <w:br/>
        <w:t>Ibanez [20-30%] [20-30%] [20-30%]</w:t>
        <w:br/>
        <w:t>Gibson [10-20%] [10-20%] [10-20%]</w:t>
        <w:br/>
        <w:t>Yamaha [10-20%] [10-20%] [10-20%]</w:t>
        <w:br/>
        <w:t>ESP [0-10%] [0-10%] [0-10%]</w:t>
        <w:br/>
        <w:t>Cort [0-10%] [0-10%] [0-10%]</w:t>
        <w:br/>
        <w:t>Others [10-20%] [0-10%] [0-10%]</w:t>
        <w:br/>
        <w:t>TOTAL 100% 100% 100%</w:t>
        <w:br/>
        <w:t>Electric Guitar Market in Spain</w:t>
        <w:br/>
        <w:t>(in units)</w:t>
        <w:br/>
        <w:t>Company 2004 2005 2006</w:t>
        <w:br/>
        <w:t>Fender [20-30%] [20-30%] [20-30%]</w:t>
        <w:br/>
        <w:t>KMC [0-10%] [0-10%] [0-10%]</w:t>
        <w:br/>
        <w:t>Fender + KMC [20-30%] [20-30%] [20-30%]</w:t>
        <w:br/>
        <w:t>Ibanez [20-30%] [20-30%] [20-30%]</w:t>
        <w:br/>
        <w:t>Yamaha [20-30%] [20-30%] [20-30%]</w:t>
        <w:br/>
        <w:t>Gibson [10-20%] [10-20%] [10-20%]</w:t>
        <w:br/>
        <w:t>Cort [0-10%] [0-10%] [0-10%]</w:t>
        <w:br/>
        <w:t>ESP [0-10%] [0-10%] [0-10%]</w:t>
        <w:br/>
        <w:t>Others [0-10%] [0-10%] [0-10%]</w:t>
        <w:br/>
        <w:t>TOTAL 100% 100% 100%</w:t>
        <w:br/>
        <w:t>Source: Notification.</w:t>
        <w:br/>
        <w:t xml:space="preserve">FENDER occupies the first position in this market with a share of [40-50%] in value and [20-30%] in units. The main competitors are: Ibanez, Yamaha, and Gibson with significantly lower shares when sales value is considered, although closer when the number of guitars sold is taken into account. </w:t>
        <w:br/>
        <w:t xml:space="preserve">[…]. However, in 2007, sales during the first 10 months amounted to […], with a total value of […], equivalent to a market share of [0-10%] in units and [0-10%] in value. The combined share stands at [40-50%] in value and [20-30%] in units. </w:t>
        <w:br/>
        <w:t>VI.2.- Demand and Distribution Structure</w:t>
        <w:br/>
        <w:t xml:space="preserve">FENDER is present in the Spanish market through its subsidiary Fender Ibérica, S.L., which is responsible for the distribution in Spain and Portugal of all its products. </w:t>
        <w:br/>
        <w:t xml:space="preserve">FENDER markets its products primarily through specialized stores, with almost no presence in mass consumption establishments. </w:t>
        <w:br/>
        <w:t xml:space="preserve">The five main customers of FENDER and their corresponding percentages of sales are: […]. </w:t>
        <w:br/>
        <w:t xml:space="preserve">KMC markets its products in Spain through an independent distributor (Music Distribution, S.A.). </w:t>
        <w:br/>
        <w:t>VI.3.- Pricing</w:t>
        <w:br/>
        <w:t xml:space="preserve">The price of guitars can vary significantly depending on the quality of the materials and the design used. The average price in the Spanish market for electric guitars is 464 euros. </w:t>
        <w:br/>
        <w:t xml:space="preserve">As evidenced in the tables reflecting market shares, FENDER has higher prices than its competitors. According to the notifier, this is because it usually markets high-end products. </w:t>
        <w:br/>
        <w:t>VI.4.- Potential Competition - Barriers to Entry</w:t>
        <w:br/>
        <w:t>The markets for musical instruments are relatively mature. The main factors influencing customer decisions are product marketing, price, and quality.</w:t>
      </w:r>
    </w:p>
    <w:p>
      <w:r>
        <w:rPr>
          <w:b/>
        </w:rPr>
        <w:t>[Pages 7–7]</w:t>
      </w:r>
    </w:p>
    <w:p>
      <w:r>
        <w:t>There are no significant barriers to entry in this market, beyond brand image. There are no regulatory, customs, or administrative impediments, nor are unusual investments necessary to enter it.</w:t>
      </w:r>
    </w:p>
    <w:p>
      <w:r>
        <w:t>VII. ASSESSMENT OF THE OPERATION</w:t>
        <w:br/>
        <w:t>The notified operation consists of the acquisition by Fender Musical Instruments Corp. (FENDER) of exclusive control over Kaman Music Corporation (KMC). The parties to the operation only significantly overlap in the electric guitar market in Spain, where the combined market share is [40-50%] in value and [20-30%] in units. However, the structure of the supply does not change significantly, as KMC's share in this market is below [0-10%].</w:t>
      </w:r>
    </w:p>
    <w:p>
      <w:r>
        <w:t>In light of the above, it is not expected that the notified operation will pose a threat to effective competition in the market considered.</w:t>
      </w:r>
    </w:p>
    <w:p>
      <w:r>
        <w:t>VIII. PROPOSAL</w:t>
        <w:br/>
        <w:t>In view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