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https://www.cnmc.es/expedientes/c004508</w:t>
      </w:r>
    </w:p>
    <w:p>
      <w:r>
        <w:t>Pages translated : 12</w:t>
      </w:r>
    </w:p>
    <w:p/>
    <w:p>
      <w:r>
        <w:rPr>
          <w:b/>
        </w:rPr>
        <w:t>[Pages 1–3]</w:t>
      </w:r>
    </w:p>
    <w:p>
      <w:r>
        <w:t>NATIONAL COMPETITION COMMISSION RESOLUTION (File C-0045/08, HP/NUR) COUNCIL Mr. Luis Berenguer Fuster, President Mr. Fernando Torremocha García-Saénz, Councilor Mr. Emilio Conde Fernández Oliva, Councilor Mr. Miguel Cuerdo Mir, Councilor Ms. Pilar Sánchez Núñez, Councilor Mr. Julio Costas Comesaña, Councilor Ms. Mª Jesús González López, Councilor Ms. Inmaculada Gutiérrez Carrizo, Councilor In Madrid, on February 7, 2008.</w:t>
      </w:r>
    </w:p>
    <w:p>
      <w:r>
        <w:t>Having reviewed the file processed in accordance with Law 15/2007, of July 3, on the Defense of Competition, regarding the economic concentration operation consisting of the acquisition by HEWLETT-PACKARD COMPANY of the necessary assets for the development of the activity of NUR MACROPRINTERS LTD. (File C/0045/08) and agreeing with the report and proposal submitted by the Investigation Directorate, the Council of the National Competition Commission has resolved, in application of Article 57.2.a) of the aforementioned Law, to authorize the said concentration operation in the first phase. This authorization does not extend to the confidentiality agreement beyond three years, which is considered as a non-integral part of the operation, being subject to the applicable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C/0045/08 HP/NUR (Assets)</w:t>
      </w:r>
    </w:p>
    <w:p>
      <w:r>
        <w:t>On January 15, 2008, the notification regarding the acquisition by Hewlett-Packard Company (hereinafter HP) of the necessary assets for the operation of NUR Macroprinters Ltd. (hereinafter NUR) was received by this Investigation Directorate.</w:t>
      </w:r>
    </w:p>
    <w:p>
      <w:r>
        <w:t>This notification has been made by HP in accordance with Article 9 of Law 15/2007, of July 3, on the Defense of Competition, as it exceeds the threshold established in Article 8.1.a). This operation is subject to the provisions of Royal Decree 1443/2001, of December 21, which develops Law 16/1989, concerning the control of economic concentrations.</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In accordance with the provisions of Article 9.6 of Law 15/2007, the notifying party requests that the suspension of the execution of the concentration be lifted.</w:t>
      </w:r>
    </w:p>
    <w:p>
      <w:r>
        <w:t>The deadline for submitting the file in the first phase is February 15, 2008, inclusive. After this date, the notified operation will be considered tacitly authorized.</w:t>
      </w:r>
    </w:p>
    <w:p>
      <w:r>
        <w:t>I. NATURE OF THE OPERATION</w:t>
      </w:r>
    </w:p>
    <w:p>
      <w:r>
        <w:t>The concentration operation consists of the acquisition by HP of exclusive control over NUR's printer business, through the acquisition of virtually all of NUR's assets.</w:t>
      </w:r>
    </w:p>
    <w:p>
      <w:r>
        <w:t>The acquired assets are as follows: (i) the intellectual property of the printer business; (ii) relevant information of said business; (iii) the goodwill and trademarks of NUR; (iv) fixed assets, equipment, inventory; (v) financial assets, bank accounts, and other rights arising from the acquired assets or the obligations assumed; (vi) all shares and interests of NUR in the equity of its subsidiaries; and (vii) any rights derived from all of the above.</w:t>
      </w:r>
    </w:p>
    <w:p>
      <w:r>
        <w:t>The operation has been formalized through the signing of an asset purchase agreement dated December 9, 2007.</w:t>
      </w:r>
    </w:p>
    <w:p>
      <w:r>
        <w:t>The execution of the operation is conditioned upon authorization by the competition authorities of Spain, Austria, Germany, Italy, Brazil, China, and Israel.</w:t>
      </w:r>
    </w:p>
    <w:p>
      <w:r>
        <w:t>II. ACCESSORY RESTRICTIONS</w:t>
      </w:r>
    </w:p>
    <w:p>
      <w:r>
        <w:t>The purchase agreement contains a non-competition clause whereby the seller agrees not to participate, directly or indirectly, in the activities of the transferred business, except in cases where the participation does not exceed […] of the business.</w:t>
      </w:r>
    </w:p>
    <w:p>
      <w:r>
        <w:t>The contract also includes a non-solicitation clause for employees who remain in the transferred business to engage in any type of activity and not to interfere in the relationships they maintain with the acquirer.</w:t>
      </w:r>
    </w:p>
    <w:p>
      <w:r>
        <w:t>The duration of these commitments is [a period not exceeding three years].</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this case, as it affects Spain, the content and duration of the non-competition and non-solicitation clauses do not go beyond what is reasonably required by the notified concentration operation, to the extent that the agreements limit their scope to the activities in which the acquired business operates.</w:t>
      </w:r>
    </w:p>
    <w:p>
      <w:r>
        <w:t>Furthermore, the contract contains a confidentiality clause whereby at any time from the closing date, NUR as well as its directors, executives, employees, agents, and representatives shall consider strictly confidential and shall not disclose to third parties or use for their own benefit any private information relating to the buyers and the activity of the acquired business.</w:t>
      </w:r>
    </w:p>
    <w:p>
      <w:r>
        <w:t>Regarding the confidentiality agreement, it is considered that the reasonable period to regard this agreement as directly linked and necessary for the realization of the notified operation is [a period not exceeding three years], after which it is considered a non-integral part of the operation, being subject to the applicable regulations on agreements between companies.</w:t>
      </w:r>
    </w:p>
    <w:p>
      <w:r>
        <w:t>The notification of the operation to the Greek authorities is expected to take place after the execution of the operation.</w:t>
      </w:r>
    </w:p>
    <w:p>
      <w:r>
        <w:t>Authorized on January 25, 2008.</w:t>
      </w:r>
    </w:p>
    <w:p>
      <w:r>
        <w:t>Authorized on January 15, 2008.</w:t>
      </w:r>
    </w:p>
    <w:p>
      <w:r>
        <w:t>The information indicated in brackets is that whose exact content has been declared confidential.</w:t>
      </w:r>
    </w:p>
    <w:p>
      <w:r>
        <w:rPr>
          <w:b/>
        </w:rPr>
        <w:t>[Pages 4–6]</w:t>
      </w:r>
    </w:p>
    <w:p>
      <w:r>
        <w:t>3. INVESTIGATION OF THE MERGER</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 as it does not exceed the thresholds set out in Article 1 thereof.</w:t>
      </w:r>
    </w:p>
    <w:p>
      <w:r>
        <w:t>However, the notified operation meets the requirements established by Law 15/2007 for its notification, as it exceeds the threshold set out in Article 8.1.a) of the same.</w:t>
      </w:r>
    </w:p>
    <w:p>
      <w:r>
        <w:t>IV. PARTICIPATING COMPANIES</w:t>
      </w:r>
    </w:p>
    <w:p>
      <w:r>
        <w:t>IV.1. HEWLETT-PACKARD COMPANY</w:t>
      </w:r>
    </w:p>
    <w:p>
      <w:r>
        <w:t>HP is the head of a group active in the technology sector that distributes computer products, technology, solutions, and services to individual consumers, small and medium-sized businesses, and large companies. Its operations are divided into several business segments, with "the printing business" being relevant for this operation.</w:t>
      </w:r>
    </w:p>
    <w:p>
      <w:r>
        <w:t>HP is a U.S. company whose shares are listed on the New York Stock Exchange and which, according to the notifying party, is not controlled by any natural or legal person.</w:t>
      </w:r>
    </w:p>
    <w:p>
      <w:r>
        <w:t>HP does not have a production center in Spain, but is limited to marketing products manufactured in other countries.</w:t>
      </w:r>
    </w:p>
    <w:p>
      <w:r>
        <w:t>The turnover of HP in the last three financial years, in accordance with Article 3 of R.D.1443/2001, is, according to the notifying party, as follows:</w:t>
      </w:r>
    </w:p>
    <w:p>
      <w:r>
        <w:t>TURNOVER OF HP</w:t>
        <w:br/>
        <w:t>(MILLION EUROS)</w:t>
        <w:br/>
        <w:t>2004 2005 2006</w:t>
        <w:br/>
        <w:t>Worldwide [&gt;2500] [&gt;2500] [&gt;2500]</w:t>
        <w:br/>
        <w:t>European Union [&gt;250] [&gt;250] [&gt;250]</w:t>
        <w:br/>
        <w:t>Spain [&gt;60] [&gt;60] [&gt;60]</w:t>
        <w:br/>
        <w:t>Source: Notification</w:t>
      </w:r>
    </w:p>
    <w:p>
      <w:r>
        <w:t>IV.2. ASSETS OF NUR MACROPRINTERS (NUR)</w:t>
      </w:r>
    </w:p>
    <w:p>
      <w:r>
        <w:t>NUR is an Israeli company that supplies super-wide format digital printing systems worldwide.</w:t>
      </w:r>
    </w:p>
    <w:p>
      <w:r>
        <w:t>The capital of NUR is owned by six shareholders. NUR operates through five wholly-owned subsidiaries located in the U.S., China, Brazil, Belgium, and Japan.</w:t>
      </w:r>
    </w:p>
    <w:p>
      <w:r>
        <w:t>The turnover of the acquired business in the last three financial years, in accordance with Art. 3 of R.D.1443/2001, is, according to the notifying party, as follows:</w:t>
      </w:r>
    </w:p>
    <w:p>
      <w:r>
        <w:t>TURNOVER OF NUR</w:t>
        <w:br/>
        <w:t>(MILLION EUROS)</w:t>
        <w:br/>
        <w:t>2004 2005 2006</w:t>
        <w:br/>
        <w:t>Worldwide [&lt;2500] [&lt;2500] [&lt;2500]</w:t>
        <w:br/>
        <w:t>European Union [&lt;250] [&lt;250] [&lt;250]</w:t>
        <w:br/>
        <w:t>Spain [&lt;60] [&lt;60] [&lt;60]</w:t>
        <w:br/>
        <w:t>Source: Notification</w:t>
      </w:r>
    </w:p>
    <w:p>
      <w:r>
        <w:t>V. RELEVANT MARKETS</w:t>
      </w:r>
    </w:p>
    <w:p>
      <w:r>
        <w:t>V.1. Product market</w:t>
      </w:r>
    </w:p>
    <w:p>
      <w:r>
        <w:t>The acquired business involves the production and marketing of super-wide format digital printing equipment for industrial uses, as well as related supplies and services, activities in which the acquirer also operates.</w:t>
      </w:r>
    </w:p>
    <w:p>
      <w:r>
        <w:t>According to the notifying party and in accordance with national precedent, the activities of supplying parts and post-sale services that the affected companies perform solely with their customers have little economic relevance, and are therefore considered an integral part of the main business (manufacturing and selling their own printers).</w:t>
      </w:r>
    </w:p>
    <w:p>
      <w:r>
        <w:t>According to the aforementioned national precedent and in accordance with the initial market delineation adopted by the independent analyst IDC (International Data Group), the notifying party proposes a classification of printers for the industry based on the format or width of printing and the analog or digital technology.</w:t>
      </w:r>
    </w:p>
    <w:p>
      <w:r>
        <w:t>- According to the notifying party, five printer formats can be differentiated by printing width, ranging from 24 inches (0.6 meters) to over 71 inches (1.80 meters). The industrial printers manufactured by the parties correspond to the largest width group: the "super-wide" format (over 71 inches/1.8 meters).</w:t>
      </w:r>
    </w:p>
    <w:p>
      <w:r>
        <w:t>- Regarding technology, the notifying party notes that 20% of super-wide format applications are printed using digital technology and the remaining 80% use analog technology (Offset or screen printing technologies). Neither party produces analog printers. The notifying party indicates that there is a certain degree of substitutability, though not complete, between analog and digital printers. In any case, since neither HP nor NUR manufactures analog printers, only the market for digital printers will be analyzed, considering that the shares will always be higher than those recorded in any potential market delineations that also included analogs.</w:t>
      </w:r>
    </w:p>
    <w:p>
      <w:r>
        <w:t>Super-wide format digital printers can also be classified according to the following criteria:</w:t>
      </w:r>
    </w:p>
    <w:p>
      <w:r>
        <w:t>- Material on which printing can be done (flatbed printers when the material is rigid and roll printers if the material used is flexible)</w:t>
        <w:br/>
        <w:t>- Ink technology (solvent or UV-curable).</w:t>
        <w:br/>
        <w:t>- Price-Range (high-end over 280,000 euros; upper mid-range between 140,000-280,000 euros; lower mid-range between 70,000-140,000 euros; low-end between 17,000-70,000 euros)</w:t>
      </w:r>
    </w:p>
    <w:p>
      <w:r>
        <w:t>UV-curable ink printers can be used for both rigid and flexible surfaces, while solvent ink printers are only available for flexible surfaces.</w:t>
      </w:r>
    </w:p>
    <w:p>
      <w:r>
        <w:t>According to the notifying party, the trend among all manufacturers is to develop UV-curable ink printers, which are higher priced but more environmentally friendly and available for rigid surfaces. Additionally, they offer other advantages such as quick drying, making them more productive.</w:t>
      </w:r>
    </w:p>
    <w:p>
      <w:r>
        <w:t>On the other hand, customers differ based on price range. According to the notifying party, industrial customers are willing to pay higher prices (over 70,000 euros), while low-end printers are primarily purchased by commercial customers (copy centers, printing houses, photo labs, etc.).</w:t>
      </w:r>
    </w:p>
    <w:p>
      <w:r>
        <w:t>Therefore, there is no perfect substitutability from the demand side among the different types of super-wide format digital printers, based on the aforementioned criteria. However, as the parties specialize in different ranges within this sector, their products do not typically compete directly.</w:t>
      </w:r>
    </w:p>
    <w:p>
      <w:r>
        <w:t>HP is present in the super-wide format sector with lower mid-range and low-end equipment. It markets three solvent ink printers for flexible surfaces and two UV technology printers for rigid surfaces.</w:t>
      </w:r>
    </w:p>
    <w:p>
      <w:r>
        <w:t>NUR, on the contrary, focuses on very large equipment (between 3.2 and 5 meters) in the upper mid-range, for both flat and flexible surface applications, predominantly based on UV ink technology, which represents the majority of its sales.</w:t>
      </w:r>
    </w:p>
    <w:p>
      <w:r>
        <w:t>The notifying party indicates that all large format manufacturers can develop printers for all types of customers within a two-year period, so there is a certain degree of substitutability from the supply side. On the other hand, an increasing number of Asian producers (especially from China and Korea) are developing and distributing solvent ink printers at competitive prices, with an increasing penetration in the international market.</w:t>
      </w:r>
    </w:p>
    <w:p>
      <w:r>
        <w:rPr>
          <w:b/>
        </w:rPr>
        <w:t>[Pages 7–9]</w:t>
      </w:r>
    </w:p>
    <w:p>
      <w:r>
        <w:t>6. INVESTIGATION OF THE MERGER</w:t>
      </w:r>
    </w:p>
    <w:p>
      <w:r>
        <w:t>In light of the considerations presented, the relevant market for the purposes of analyzing the notified operation is considered to be the market for industrial digital printers for super-wide format graphic applications, although the possibility of further segmentations is left open, as it is not necessary to delineate this possibility for the purposes of the present operation, insofar as it does not affect the conclusions of the analysis9.</w:t>
      </w:r>
    </w:p>
    <w:p>
      <w:r>
        <w:t>V.2. Geographical market</w:t>
      </w:r>
    </w:p>
    <w:p>
      <w:r>
        <w:t>The notifying party considers that the scope of this market encompasses, at least, the EEA for the following reasons: companies active in these markets tend to set similar prices for their products in different states; there are no legal or administrative barriers that impede trade; and the impact of transportation costs on the final price is low. Furthermore, all competitors are foreign companies operating globally, and the parties to the operation do not have production centers in Spain but market equipment sourced from other countries.</w:t>
      </w:r>
    </w:p>
    <w:p>
      <w:r>
        <w:t>Therefore, the effects of this operation will be studied at the national level and in the EEA, although it is not necessary to finalize an exact definition of the relevant geographical scope, as it does not affect the conclusions of the analysis.</w:t>
      </w:r>
    </w:p>
    <w:p>
      <w:r>
        <w:t>VI. MARKET ANALYSIS</w:t>
      </w:r>
    </w:p>
    <w:p>
      <w:r>
        <w:t>VI.1.- Supply structure</w:t>
      </w:r>
    </w:p>
    <w:p>
      <w:r>
        <w:t>The following tables include estimates of the market shares of the parties and their main competitors in Spain and in the EEA over the last three years, both in terms of value and in units.</w:t>
      </w:r>
    </w:p>
    <w:p>
      <w:r>
        <w:t>9 Regardless of the market definition used, the entity resulting from the concentration operation is positioned as a leader in the European market, and in all cases, there are significant competitors. In the Spanish market, HP reinforces its leadership, both in the market considered for analysis and in a hypothetical segmented market for solvent ink. This is not the case in the UV drying ink market, where two significant operators, […] account for, between them, equally, […] of the market.</w:t>
      </w:r>
    </w:p>
    <w:p>
      <w:r>
        <w:t>7. INVESTIGATION OF THE DIGITAL PRINTERS MARKET FOR SUPER-WIDE FORMAT IN SPAIN (value) 2004 2005 2006 Company Euros Share Euros Share Euros Share HP […] [0-10%] […] [0-10%] […] [10-20%] NUR […] [30-40%] […] [10-20%] […] [10-20%] HP+NUR […] [30-40%] […] [20-30%] […] [30-40%] Agfa […] [0-10%] […] [0-10%] […] [10-20%] Zund […] [0-10%] […] [0-10%] […] [10-20%] SII […] [0-10%] […] [0-10%] […] [10-20%] Vutek […] [20-30%] […] [30-40%] […] [0-10%] Mutoh […] [10-20%] […] [10-20%] […] [0-10%] Roland […] [10-20%] […] [0-10%] […] [0-10%] Mimaki […] [0-10%] […] [0-10%] […] [0-10%] Oce […] [0-10%] […] [0-10%] […] [0-10%] TOTAL […] 100% […] 100% […] 100% Source: Notifying Party MARKET OF DIGITAL PRINTERS FOR SUPER-WIDE FORMAT IN SPAIN (volume) 2004 2005 2006 Company Units Share Units Share Units Share HP […] [0-10%] […] [0-10%] […] [30-40%] NUR […] [20-30%] […] [0-10%] […] [0-10%] (HP+NUR) […] [20-30%] […] [10-20%] […] [30-40%] Agfa […] [0-10%] […] [0-10%] […] [10-20%] Zund […] [0-10%] […] [0-10%] […] [0-10%] SII […] [0-10%] […] [0-10%] […] [10-20%] Vutek […] [0-10%] […] [10-20%] […] [0-10%] Mutoh […] [20-30%] […] [10-20%] […] [0-10%] Roland […] [10-20%] […] [20-30%] […] [10-20%] Mimaki […] [10-20%] […] [10-20%] […] [10-20%] Oce […] [0-10%] […] [0-10%] […] [0-10%] Gandinnovations […] [0-10%] […] [0-10%] […] [0-10%] Others […] [0-10%] […] [0-10%] […] [0-10%] TOTAL […] 100% […] 100% […] 100% Source: Notifying Party</w:t>
      </w:r>
    </w:p>
    <w:p>
      <w:r>
        <w:t>NATIONAL COMPETITION COMMISSION INVESTIGATION DIRECTORATE MARKET OF DIGITAL PRINTERS FOR SUPER-WIDE FORMAT - EEA10 (value) 2004 2005 2006 Company Euros Share Euros Share Euros Share HP […] [20-30%] […] [20-30%] […] [20-30%] NUR […] [0-10%] […] [10-20%] […] [10-20%] (HP+NUR) […] [20-30%] […] [30-40%] […] [30-40%] Vutek […] [10-20%] […] [10-20%] […] [10-20%] Mutoh […] [0-10%] […] [0-10%] […] [0-10%] Roland […] [0-10%] […] [10-20%] […] [0-10%] Zund […] [0-10%] […] [0-10%] […] [0-10%] Mimaki […] [0-10%] […] [0-10%] […] [0-10%] Oce […] [0-10%] […] [0-10%] […] [0-10%] Gandinnovations […] [0-10%] […] [0-10%] […] [0-10%] Others […] [30-40%] […] [20-30%] […] [10-20%] TOTAL […] 100% […] 100% […] 100% Source: Notifying Party MARKET OF DIGITAL PRINTERS FOR SUPER-WIDE FORMAT - EEA (volume) 2004 2005 2006 Company Units Share Units Share Units Share HP […] [10-20%] […] [10-20%] […] [10-20%] NUR […] [10-20%] […] [0-10%] […] [0-10%] (HP+NUR) […] [20-30%] […] [20-30%] […] [20-30%] Vutek […] [0-10%] […] [0-10%] […] [0-10%] Mutoh […] [10-20%] […] [10-20%] […] [10-20%] Roland […] [20-30%] […] [20-30%] […] [20-30%] Zund […] [0-10%] […] [0-10%] […] [0-10%] Mimaki […] [10-20%] […] [10-20%] […] [10-20%] Oce […] [0-10%] […] [0-10%] […] [0-10%] Gandinnovations […] [0-10%] […] [0-10%] […] [0-10%] Others […] [0-10%] […] [10-20%] […] [20-30%] TOTAL […] 100% […] 100% […] 100% Source: Notifying Party</w:t>
      </w:r>
    </w:p>
    <w:p>
      <w:r>
        <w:t>10 The IDC does not collect data for the EEA, providing combined data for Europe, the Middle East, and Africa; however, in this case, according to the notifying party's estimate, the shares approximately coincide with those of the EEA. C/. Barquillo, 5, 28004 MADRID TEL.: 91 536 9003 FAX: 91 536 9005</w:t>
      </w:r>
    </w:p>
    <w:p>
      <w:r>
        <w:rPr>
          <w:b/>
        </w:rPr>
        <w:t>[Pages 10–12]</w:t>
      </w:r>
    </w:p>
    <w:p>
      <w:r>
        <w:t xml:space="preserve">100%  </w:t>
        <w:br/>
        <w:t>Source: Notifying Party</w:t>
      </w:r>
    </w:p>
    <w:p>
      <w:r>
        <w:t xml:space="preserve">HP is the leader in the relevant analyzed market, both at the national and European levels.  </w:t>
        <w:br/>
        <w:t xml:space="preserve">NUR is the third operator in the Spanish market and the second in the EEA.  </w:t>
        <w:br/>
        <w:t xml:space="preserve">It is observed that the share of the acquiring company is higher in the European market in terms of value than in the national market, reversing this relationship when considering market participation in terms of volume. According to the notifying party, this is due to the type of product sold by HP in Spain, which is of a lower range than in the European market.  </w:t>
        <w:br/>
        <w:t xml:space="preserve">This does not occur with the other operators who maintain similar value/volume share relationships in the two analyzed geographic markets.  </w:t>
        <w:br/>
        <w:t xml:space="preserve">The tables reflect that the addition of share is greater when considering the data in value, as NUR's printers are of a higher range.  </w:t>
        <w:br/>
        <w:t xml:space="preserve">In Spain, the joint share of the parties after the concentration operation is situated at [30-40%] with an addition of share of [10-20%]. In Europe, the joint share is [30-40%] and the acquired share is [10-20%].  </w:t>
        <w:br/>
        <w:t xml:space="preserve">However, it is important to highlight that these shares are volatile, as each year a limited number of units of this type of printers are sold.  </w:t>
        <w:br/>
        <w:t>There are significant well-positioned competitors that cover the entire spectrum of industrial printing needs. Considering the drying technology used, AGFA, Vutek, Mutoh, and Gandinnovations, among others, develop super-wide format digital printers with both technologies (solvent ink and UV curing ink), the latter being the field in which the acquired business has greater relevance. The competitors with the greatest presence in the UV curing technology segment are AGFA and Zund, while Roland and Mutoh stand out in the solvent ink segment.</w:t>
      </w:r>
    </w:p>
    <w:p>
      <w:r>
        <w:t xml:space="preserve">VI.2.- Demand Structure  </w:t>
        <w:br/>
        <w:t xml:space="preserve">The usual customers of super-wide format printers are print service providers (PSPs) who perform prints for resale to third parties. There are two types of PSPs: commercial customers (copy centers, printing houses, photo labs, etc.) who are usually small businesses located in urban areas willing to spend up to approximately 70,000 euros, and industrial customers, usually located in industrial estates and willing to make higher expenditures.  </w:t>
        <w:br/>
        <w:t xml:space="preserve">HP has traditionally focused on the commercial customer type, thus its clientele is more fragmented.  </w:t>
        <w:br/>
        <w:t>In contrast, NUR's printers have been aimed at industrial customers with a very concentrated demand in […]12 who purchase almost all of their production.</w:t>
      </w:r>
    </w:p>
    <w:p>
      <w:r>
        <w:t xml:space="preserve">VI.3.- Pricing and Distribution Structure  </w:t>
        <w:br/>
        <w:t xml:space="preserve">The notifying entity indicates that prices are negotiated with the customer taking into account the viability of their business and the cost of the machine.  </w:t>
        <w:br/>
        <w:t xml:space="preserve">According to data provided by the notifying party, in the UV drying ink segment, Zund's share is [10-20%] in the EEA and [30-40%] in the national market, while AGFA's share rises to [20-30%] in the EEA and [40-50%] in the Spanish market. None of the companies were present in 2004. The shares of Roland and Mutoh in the solvent ink segment are around [10-20%] in the European market and [0-10%] in the Spanish market.  </w:t>
        <w:br/>
        <w:t>12 […].</w:t>
      </w:r>
    </w:p>
    <w:p>
      <w:r>
        <w:t xml:space="preserve">NATIONAL COMPETITION COMMISSION  </w:t>
        <w:br/>
        <w:t>INVESTIGATION DIRECTORATE</w:t>
      </w:r>
    </w:p>
    <w:p>
      <w:r>
        <w:t xml:space="preserve">Additionally, the notifying party indicates that the prices applied by the parties are similar to those applied by competitors offering equivalent printers. Likewise, prices in Spain are quite similar under the same conditions to prices in other European countries.  </w:t>
        <w:br/>
        <w:t xml:space="preserve">In Spain, HP markets […] of its super-wide format printers through […] and the remaining […] through […].  </w:t>
        <w:br/>
        <w:t>In Europe, NUR distributes its products centrally through its subsidiary NUR Europe, S.A., located in Belgium. Additionally, […].</w:t>
      </w:r>
    </w:p>
    <w:p>
      <w:r>
        <w:t xml:space="preserve">VI.4.- Potential Competition - Barriers to Entry  </w:t>
        <w:br/>
        <w:t xml:space="preserve">According to the notifying party, there are no significant barriers to entry in this market.  </w:t>
        <w:br/>
        <w:t xml:space="preserve">Printers and the intermediate goods necessary for their manufacture are becoming standardized products, mainly those of solvent technology, often subcontracting their production under OEM agreements with low-cost Asian manufacturers.  </w:t>
        <w:br/>
        <w:t xml:space="preserve">In the segment of UV curing technology printers, the inputs necessary for their manufacture (ink and UV light curing technology) are protected by patents. However, the number of patents13 held by HP and NUR is limited, which reduces the possibilities of restricting the expansion or entry of competitors.  </w:t>
        <w:br/>
        <w:t xml:space="preserve">[…].  </w:t>
        <w:br/>
        <w:t xml:space="preserve">Therefore, in principle, there are no significant limitations regarding the availability of production factors for this type of printers.  </w:t>
        <w:br/>
        <w:t>The notifying party has also demonstrated the entry of new competitors over the last three years in the two analyzed geographic markets.</w:t>
      </w:r>
    </w:p>
    <w:p>
      <w:r>
        <w:t xml:space="preserve">VII. VALUATION OF THE OPERATION  </w:t>
        <w:br/>
        <w:t xml:space="preserve">This notification refers to the acquisition by HP of exclusive control over NUR's printer business.  </w:t>
        <w:br/>
        <w:t xml:space="preserve">The concentration operation affects the market for industrial digital printers for super-wide format graphic applications, where both parties operate.  </w:t>
        <w:br/>
        <w:t xml:space="preserve">The acquiring company occupies a leading position in both the national and European markets. The company whose assets are being acquired ranks second in the European market and third in Spain.  </w:t>
        <w:br/>
        <w:t xml:space="preserve">In Spain, the joint share of the parties after the concentration operation is situated at [30-40%] with an addition of share of [10-20%]. In Europe, the joint share is [30-40%] and the acquired share is [10-20%]. In both markets, HP's leading position is reinforced.  </w:t>
        <w:br/>
        <w:t xml:space="preserve">However, HP's and NUR's products are not close substitutes, so the competitive pressure exerted by NUR on HP may be less than what their shares indicate.  </w:t>
        <w:br/>
        <w:t>13 According to data obtained by the notifying party from the website of the Spanish Patent and Trademark Office, the global patent database lists 2,237 patents related to UV curing ink (including granted patents and pending patent applications) and 1,129 using the search term "UV curing ink printing." HP holds 11 ink patents and 5 printing technology patents. NUR holds 4 patents.</w:t>
      </w:r>
    </w:p>
    <w:p>
      <w:r>
        <w:t xml:space="preserve">NATIONAL COMPETITION COMMISSION  </w:t>
        <w:br/>
        <w:t>INVESTIGATION DIRECTORATE</w:t>
      </w:r>
    </w:p>
    <w:p>
      <w:r>
        <w:t xml:space="preserve">On the other hand, the data reflects a dynamic market behavior, where significant fluctuations in shares are observed and where new operators such as Gandinnovations have recently entered the European market. In Spain, Zund and Seiko were not present in 2004 and have reached shares of [10-20%] and [10-20%] respectively. Additionally, AGFA has increased its share by [0-10%] in the last two years.  </w:t>
        <w:br/>
        <w:t xml:space="preserve">According to the notifying party, the digital printer business is growing steadily, replacing analog printers that still have a much greater weight in the market, especially regarding UV curing printers. This is also a sector characterized by constant innovation, which facilitates the entry of new competitors.  </w:t>
        <w:br/>
        <w:t xml:space="preserve">Furthermore, the demand for the acquired business is very concentrated. The […] of NUR's sales in Spain are made to […], resulting in a high bargaining power for the customer. In contrast, the demand for HP printers is more fragmented.  </w:t>
        <w:br/>
        <w:t xml:space="preserve">Additionally, it is not expected that negative portfolio effects will arise as a consequence of the notified concentration operation. On one hand, there are well-positioned competitors that cover the entire spectrum of industrial printing needs, both in terms of segmentation by ranges/prices and by technologies used (solvent/UV curing). On the other hand, the notifying party points out that super-wide format printers require significant investment, so their acquisition does not occur regularly, and their special characteristics mean that purchases are not usually made simultaneously with those of other printers. It is also added that HP's distribution channels for these equipment are different from those used for its other products.  </w:t>
        <w:br/>
        <w:t>Considering all of the above, it is not expected that the operation will pose a threat to the maintenance of effective competition in the relevant markets.</w:t>
      </w:r>
    </w:p>
    <w:p>
      <w: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p>
      <w:r>
        <w:t xml:space="preserve">NATIONAL COMPETITION COMMISSION  </w:t>
        <w:br/>
        <w:t>INVESTIGATION DIRECTORATE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