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https://www.cnmc.es/expedientes/c004908</w:t>
      </w:r>
    </w:p>
    <w:p>
      <w:r>
        <w:t>Pages translated : 9</w:t>
      </w:r>
    </w:p>
    <w:p/>
    <w:p>
      <w:r>
        <w:rPr>
          <w:b/>
        </w:rPr>
        <w:t>[Pages 1–3]</w:t>
      </w:r>
    </w:p>
    <w:p>
      <w:r>
        <w:t>NATIONAL COMPETITION COMMISSION RESOLUTION (File C-0049/08, PAINE &amp; PARTNERS/STABILUS) COUNCIL D. Luis Berenguer Fuster, President D. Fernando Torremocha García-Sáenz, Vice President D. Emilio Conde Fernández Oliva, Councilor D. Miguel Cuerdo Mir, Councilor Dª Pilar Sánchez Núñez, Councilor D. Julio Costas Comesaña, Councilor Dª Mª Jesús González López, Councilor Dª Inmaculada Gutiérrez Carrizo, Councilor In Madrid, on March 25, 2008.</w:t>
      </w:r>
    </w:p>
    <w:p>
      <w:r>
        <w:t>Having reviewed the file processed in accordance with Law 15/2007, of July 3, on the Defense of Competition, regarding the economic concentration operation consisting of the acquisition by PAINE &amp; PARTNERS LLC of exclusive control of STAB ERSTE Holding GmbH (File C/0049/08) and agreeing with the report and proposal submitted by the Investigation Directorate, the Council of the National Competition Commission has resolved, under the provisions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C/0049/08 PAINE&amp;PARTNERS/STABILUS</w:t>
      </w:r>
    </w:p>
    <w:p>
      <w:r>
        <w:t>On February 26, 2008, the notification of the concentration operation consisting of the acquisition by PAINE &amp; PARTNERS, LLC (hereinafter, "PAINE &amp; PARTNERS"), of exclusive control of STAB ERSTE Holding GmbH (hereinafter, "STABILUS") was received by this Investigation Directorate.</w:t>
      </w:r>
    </w:p>
    <w:p>
      <w:r>
        <w:t>This notification has been made by PAINE &amp; PARTNERS in accordance with Article 9 of Law 15/2007, of July 3, on the Defense of Competition, for exceeding the threshold established in Article 8.1.a). This operation is subject to the provisions of Royal Decree 261/2008, of February 22, which approves the Regulation on the Defense of Competition.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r>
    </w:p>
    <w:p>
      <w:r>
        <w:t>In exercise of the provisions of Article 55.4 of Law 15/2007, the Investigation Directorate requested the notifier on February 28, 2008, to rectify and complete the notification. The required rectification was fulfilled on March 5, 2008.</w:t>
      </w:r>
    </w:p>
    <w:p>
      <w:r>
        <w:t>According to the above, the deadline to agree to initiate the second phase of the procedure is April 1, 2008, inclusive. After this date, the notified operation will be considered tacitly authorized.</w:t>
      </w:r>
    </w:p>
    <w:p>
      <w:r>
        <w:t>I.- NATURE OF THE OPERATION</w:t>
      </w:r>
    </w:p>
    <w:p>
      <w:r>
        <w:t>The notified concentration operation consists of the acquisition by PAINE &amp; PARTNERS of exclusive control of STABILUS.</w:t>
      </w:r>
    </w:p>
    <w:p>
      <w:r>
        <w:t>The terms of the operation are recorded in the Sale Agreement signed on [...], by which PAINE &amp; PARTNERS acquires 100% of the share capital of STABILUS.</w:t>
      </w:r>
    </w:p>
    <w:p>
      <w:r>
        <w:t>The execution of the operation is conditioned upon its authorization by the competition authorities of Germany, Portugal, Slovenia, the United States, and China, in addition to the Spanish authority. It will also be notified in Greece once the operation has been executed.</w:t>
      </w:r>
    </w:p>
    <w:p>
      <w:r>
        <w:t>II. APPLICABILITY OF LAW 15/2007 ON THE DEFENSE OF COMPETITION</w:t>
      </w:r>
    </w:p>
    <w:p>
      <w:r>
        <w:t>According to the notifier, the operation does not fall within the scope of Regulation (EC) No. 139/2004 of the Council, of January 20, on the control of concentrations between companies, as it does not exceed the thresholds of its Article 1.</w:t>
      </w:r>
    </w:p>
    <w:p>
      <w:r>
        <w:t>However, the notified operation meets the requirements set forth by Law 15/2007 for its notification, as it exceeds the threshold established in Article 8.1.a) of the same.</w:t>
      </w:r>
    </w:p>
    <w:p>
      <w:r>
        <w:t>Furthermore, the operation complies with the requirements set forth in Article 56.1.a) for its processing as a simplified procedure, as there is no horizontal or vertical overlap between the parties to the operation.</w:t>
      </w:r>
    </w:p>
    <w:p>
      <w:r>
        <w:t>III. PARTICIPATING COMPANIES</w:t>
      </w:r>
    </w:p>
    <w:p>
      <w:r>
        <w:t>III.1. PAINE &amp; PARTNERS, LLC ("PAINE &amp; PARTNERS"),</w:t>
      </w:r>
    </w:p>
    <w:p>
      <w:r>
        <w:t>PAINE &amp; PARTNERS (USA) is a private equity fund management company specialized in the buying and selling of companies by their executives, private equity conversions, and growth capital investments in companies.</w:t>
      </w:r>
    </w:p>
    <w:p>
      <w:r>
        <w:t>PAINE &amp; PARTNERS currently has the following five North American companies in its portfolio: ICICLE SEAFOODS, BYRAM HEALTHCARE, WIRECO WORLDGROUP, WJ COMMUNICATIONS, and CAPITAL Z ASSET MANAGEMENT (CZAM), which are present in the home healthcare, radio frequency services, fishing, and cable markets.</w:t>
      </w:r>
    </w:p>
    <w:p>
      <w:r>
        <w:t>According to the notifier, none of the companies controlled by PAINE &amp; PARTNERS is active in the production of gas springs and dampers or in vertically related markets.</w:t>
      </w:r>
    </w:p>
    <w:p>
      <w:r>
        <w:t>The turnover of PAINE &amp; PARTNERS in the last three financial years, in accordance with Art. 5 of R.D. 261/2008, is, according to the notifier, as follows:</w:t>
      </w:r>
    </w:p>
    <w:p>
      <w:r>
        <w:t>[...] Owned by four shareholders: (i) Paine Family Trust, [...]; (ii) Kevin &amp; Christine Schwartz Family Trust [...]; (iii) Troy W. Thacker [...]; and (iv) Mitchell S. Presser [...]. These four shareholders also hold identical stakes in P&amp;P FUND MANAGEMENT, LLC. The shareholders are individuals or trusts that are not controlled by any other natural or legal person.</w:t>
      </w:r>
    </w:p>
    <w:p>
      <w:r>
        <w:rPr>
          <w:b/>
        </w:rPr>
        <w:t>[Pages 4–6]</w:t>
      </w:r>
    </w:p>
    <w:p>
      <w:r>
        <w:t>3. INVESTIGATION OF THE MERGER</w:t>
      </w:r>
    </w:p>
    <w:p>
      <w:r>
        <w:t>Sales volume of PAINE &amp; PARTNERS</w:t>
        <w:br/>
        <w:t>(millions of euros)</w:t>
        <w:br/>
        <w:t>2004 2005 2006</w:t>
        <w:br/>
        <w:t>Worldwide [&lt;2500] [&lt;2500] [&lt;2500]</w:t>
        <w:br/>
        <w:t>European Union [&lt;250] [&lt;250] [&lt;250]</w:t>
        <w:br/>
        <w:t>Spain [&lt;60] [&lt;60] [&lt;60]</w:t>
        <w:br/>
        <w:t>Source: Notification</w:t>
      </w:r>
    </w:p>
    <w:p>
      <w:r>
        <w:t>III.2 STAB ERSTE HOLDING GmbH (STABILUS)</w:t>
      </w:r>
    </w:p>
    <w:p>
      <w:r>
        <w:t>STABILUS is a manufacturer of gas springs and dampers. These products are used for a wide variety of applications in the automotive sector and the manufacturing of swivel chairs, as well as for industrial applications requiring lifting, lowering, or adjustment systems.</w:t>
      </w:r>
    </w:p>
    <w:p>
      <w:r>
        <w:t>STABILUS has factories located worldwide, with its headquarters in Germany. In Spain, STABILUS operates through its subsidiary STABILUS ESPAÑA, S.L.</w:t>
      </w:r>
    </w:p>
    <w:p>
      <w:r>
        <w:t>The turnover of STABILUS in the last three financial years, in accordance with Art. 5 of R.D.261/2008, is, according to the notifier, as follows:</w:t>
      </w:r>
    </w:p>
    <w:p>
      <w:r>
        <w:t>Sales volume of STABILUS</w:t>
        <w:br/>
        <w:t>(millions of euros)</w:t>
        <w:br/>
        <w:t>2004 2005 2006</w:t>
        <w:br/>
        <w:t>Worldwide [&lt;2500] [&lt;2500] [&lt;2500]</w:t>
        <w:br/>
        <w:t>European Union [&lt;250] [&lt;250] [&lt;250]</w:t>
        <w:br/>
        <w:t>Spain [&lt;60] [&lt;60] [&lt;60]</w:t>
        <w:br/>
        <w:t>Source: Notification</w:t>
      </w:r>
    </w:p>
    <w:p>
      <w:r>
        <w:t>IV. RELEVANT MARKETS</w:t>
      </w:r>
    </w:p>
    <w:p>
      <w:r>
        <w:t>IV.1 Product Market</w:t>
      </w:r>
    </w:p>
    <w:p>
      <w:r>
        <w:t>The sector of activity in which the operation is framed is the manufacturing of lifting, support, damping, and adjustment systems, an area in which only the acquired company is present.</w:t>
      </w:r>
    </w:p>
    <w:p>
      <w:r>
        <w:t>STABILUS primarily manufactures gas springs for a wide variety of uses and applications in different industrial sectors, in addition to dampers and other related products.</w:t>
      </w:r>
    </w:p>
    <w:p>
      <w:r>
        <w:t>Gas springs or hydro-pneumatic adjustment elements are closed systems consisting of a pressure tube and a piston, both made of steel or aluminum. The pressure tube is filled with nitrogen as an energy carrier, as well as with oil to lubricate the sealing system. The energy of gas springs is based on the compressibility of the gas enclosed in the system.</w:t>
      </w:r>
    </w:p>
    <w:p>
      <w:r>
        <w:t>These springs have a wide range of industrial applications, mainly distinguished into three:</w:t>
      </w:r>
    </w:p>
    <w:p>
      <w:r>
        <w:t>(i) automotive industry: opening, closing, and positioning of hatches, lids, and bonnets, adjustment of seats, steering columns, etc.;</w:t>
      </w:r>
    </w:p>
    <w:p>
      <w:r>
        <w:t>(ii) office furniture, primarily swivel chairs;</w:t>
      </w:r>
    </w:p>
    <w:p>
      <w:r>
        <w:t>(iii) industrial components: safety and noise protection covers, luggage compartments in aircraft cabins, garage doors, hospital beds, covers for UV tanning beds, photocopiers, etc.</w:t>
      </w:r>
    </w:p>
    <w:p>
      <w:r>
        <w:t>Although the base of gas springs is standardized, generally the products offered by STABILUS are tailored to the needs of each customer.</w:t>
      </w:r>
    </w:p>
    <w:p>
      <w:r>
        <w:t>STABILUS also manufactures dampers (hydraulic elements used to absorb and dampen the effects of vibration) and immobilization elements for various systems directed at vehicle doors, as well as opening and closing systems for automatic flaps for truck covers and rear doors. These activities accounted for less than [0-10]% of the total production in units of STABILUS. In Spain, STABILUS only sells dampers for vehicle seats (used in the driver's seats of buses and trucks), steering dampers, and for furniture (used in cabinets).</w:t>
      </w:r>
    </w:p>
    <w:p>
      <w:r>
        <w:t>Both the European competition authorities, in the case M.2930 KKR/DEMAG HOLDING/SIEMENS BUSINESS, and the former Competition Defense Service in the file N-04053 MONTAGU/STABILUS, have not precisely defined the product market boundaries in this sector.</w:t>
      </w:r>
    </w:p>
    <w:p>
      <w:r>
        <w:t>In light of the above considerations and to the extent that it does not affect the conclusions of the analysis, this Investigation Directorate will separately analyze the effects of the operation in the gas springs and dampers markets, although it is not necessary to finalize the exact definition of them.</w:t>
      </w:r>
    </w:p>
    <w:p>
      <w:r>
        <w:t>IV.2 Geographic Market</w:t>
      </w:r>
    </w:p>
    <w:p>
      <w:r>
        <w:t>The parties consider that the product markets in question have a relevant geographic scope that is global or at least European, as both gas springs and dampers are marketed internationally. For its part, the European Commission, in the aforementioned case, considered that the gas springs market was global or broader than the EEA, although leaving its exact delimitation open.</w:t>
      </w:r>
    </w:p>
    <w:p>
      <w:r>
        <w:t>However, it is not necessary to define the exact geographic boundaries of these product markets, as it does not alter the conclusions of the analysis. In any case, market shares will be provided at the global, EEA, and Spain levels.</w:t>
      </w:r>
    </w:p>
    <w:p>
      <w:r>
        <w:t>VI. MARKET ANALYSIS</w:t>
      </w:r>
    </w:p>
    <w:p>
      <w:r>
        <w:t>The market shares of STABILUS in the gas springs market and its main competitors in the global, European, and Spanish markets for the years 2005 to 2007 are summarized in the following tables:</w:t>
      </w:r>
    </w:p>
    <w:p>
      <w:r>
        <w:t>5. INVESTIGATION OF THE MERGER</w:t>
      </w:r>
    </w:p>
    <w:p>
      <w:r>
        <w:t>MARKET SHARES OF GAS SPRINGS WORLDWIDE</w:t>
        <w:br/>
        <w:t>Year 2005 2006 2007</w:t>
        <w:br/>
        <w:t>Company Millions Market Millions Market Millions Market</w:t>
        <w:br/>
        <w:t>of Euros Share of Euros Share of Euros Share</w:t>
        <w:br/>
        <w:t>(%) (%) (%)</w:t>
        <w:br/>
        <w:t>STABILUS […] [40-50] […] [40-50] […] [40-50]</w:t>
        <w:br/>
        <w:t>SUSPA […] [0-10] […] [0-10] […] [0-10]</w:t>
        <w:br/>
        <w:t>MDI […] [0-10] […] [0-10] […] [0-10]</w:t>
        <w:br/>
        <w:t>KAYABA […] [0-10] […] [0-10] […] [0-10]</w:t>
        <w:br/>
        <w:t>AVM […] [0-10] […] [0-10] […] [0-10]</w:t>
        <w:br/>
        <w:t>(ARVINMERITOR)</w:t>
        <w:br/>
        <w:t>SAMHONGSA […] [0-10] […] [0-10] […] [0-10]</w:t>
        <w:br/>
        <w:t>SHOWA […] [0-10] […] [0-10] […] [0-10]</w:t>
        <w:br/>
        <w:t>Others […] [20-30] […] [20-30] […] [20-30]</w:t>
        <w:br/>
        <w:t>TOTAL […] 100 […] 100 […] 100</w:t>
      </w:r>
    </w:p>
    <w:p>
      <w:r>
        <w:t>MARKET SHARES OF GAS SPRINGS IN EUROPE (EEA)</w:t>
        <w:br/>
        <w:t>Year 2005 2006 2007</w:t>
        <w:br/>
        <w:t>Company Millions Market Millions Market Millions Market</w:t>
        <w:br/>
        <w:t>of Euros Share of Euros Share of Euros Share</w:t>
        <w:br/>
        <w:t>(%) (%) (%)</w:t>
        <w:br/>
        <w:t>STABILUS […] [60-65] […] [60-65] […] [60-65]</w:t>
        <w:br/>
        <w:t>SUSPA […] [0-10] […] [0-10] […] [0-10]</w:t>
        <w:br/>
        <w:t>AIRAX […] [0-10] […] [0-10] […] [0-10]</w:t>
        <w:br/>
        <w:t>GAIN […] [0-10] […] [0-10] […] [0-10]</w:t>
        <w:br/>
        <w:t>DELPHI KROSNO […] [0-10] […] [0-10] […] [0-10]</w:t>
        <w:br/>
        <w:t>MDI […] [0-10] […] [0-10] […] [0-10]</w:t>
        <w:br/>
        <w:t>Others […] [10-20] […] [20-30] […] [20-30]</w:t>
        <w:br/>
        <w:t>TOTAL […] 100 […] 100 […] 100</w:t>
      </w:r>
    </w:p>
    <w:p>
      <w:r>
        <w:t>MARKET SHARES OF GAS SPRINGS IN SPAIN*</w:t>
        <w:br/>
        <w:t>Year 2005 2006 2007</w:t>
        <w:br/>
        <w:t>Company Millions Market Millions Market Millions Market</w:t>
        <w:br/>
        <w:t>of Euros Share of Euros Share of Euros Share</w:t>
        <w:br/>
        <w:t>(%) (%) (%)</w:t>
        <w:br/>
        <w:t>STABILUS […] [50-60] […] [50-60] […] [50-60]</w:t>
        <w:br/>
        <w:t>LIP […] [0-10] […] [0-10] […] [0-10]</w:t>
        <w:br/>
        <w:t>KGS […] [0-10] […] [0-10] […] [0-10]</w:t>
        <w:br/>
        <w:t>ALONTEC/RESORG [0-10] [0-10] [0-10]</w:t>
        <w:br/>
        <w:t>[…] […] […]</w:t>
      </w:r>
    </w:p>
    <w:p>
      <w:r>
        <w:rPr>
          <w:b/>
        </w:rPr>
        <w:t>[Pages 7–9]</w:t>
      </w:r>
    </w:p>
    <w:p>
      <w:r>
        <w:t>6. INVESTIGATION OF THE MERGER</w:t>
      </w:r>
    </w:p>
    <w:p>
      <w:r>
        <w:t xml:space="preserve">SUSPA […] [0-10] […] [0-10] […] [0-10]  </w:t>
        <w:br/>
        <w:t xml:space="preserve">BANSBACH […] [0-10] […] [0-10] […] [0-10]  </w:t>
        <w:br/>
        <w:t xml:space="preserve">ASIATIC […] [10-20] […] [10-20] […] [10-20]  </w:t>
        <w:br/>
        <w:t xml:space="preserve">Others […] [0-10] […] [0-10] […] [0-10]  </w:t>
        <w:br/>
        <w:t xml:space="preserve">TOTAL […] 100 […] 100 […] 100  </w:t>
        <w:br/>
        <w:t xml:space="preserve">Source: Notification.  </w:t>
        <w:br/>
        <w:t xml:space="preserve">* The parties indicate that with respect to Spain, the market share data of STABILUS jointly reflects the sales of gas springs and dampers. However, the portion corresponding to dampers is marginal. Thus, in 2007, STABILUS sold dampers in Spain for […] euros.  </w:t>
        <w:br/>
        <w:t xml:space="preserve">The main operator in the Spanish market, as well as in the European and global markets, is STABILUS. As reflected in the previous tables, the market shares of STABILUS for the year 2007, in Spain, Europe, and the world were [50-60]%, [60-70]%, and [40-50]%, respectively.  </w:t>
        <w:br/>
        <w:t xml:space="preserve">The market shares of hydraulic dampers of STABILUS and its main competitors in the global, European, and Spanish markets for 2007 are collected in the following tables:  </w:t>
        <w:br/>
        <w:t xml:space="preserve">MARKET SHARES OF HYDRAULIC DAMPERS WORLDWIDE  </w:t>
        <w:br/>
        <w:t xml:space="preserve">2007  </w:t>
        <w:br/>
        <w:t xml:space="preserve">Year  </w:t>
        <w:br/>
        <w:t xml:space="preserve">Millions of Euros Market Share  </w:t>
        <w:br/>
        <w:t xml:space="preserve">Company (%)  </w:t>
        <w:br/>
        <w:t xml:space="preserve">KAYABA […] [20-30]  </w:t>
        <w:br/>
        <w:t xml:space="preserve">MONROE […] [10-20]  </w:t>
        <w:br/>
        <w:t xml:space="preserve">ZF SACHS […] [0-10]  </w:t>
        <w:br/>
        <w:t xml:space="preserve">STABILUS […] [50-60]  </w:t>
        <w:br/>
        <w:t xml:space="preserve">Others […]  </w:t>
        <w:br/>
        <w:t xml:space="preserve">100  </w:t>
        <w:br/>
        <w:t xml:space="preserve">TOTAL […]  </w:t>
        <w:br/>
        <w:t xml:space="preserve">MARKET SHARES OF HYDRAULIC DAMPERS EUROPE (EEA)  </w:t>
        <w:br/>
        <w:t xml:space="preserve">Year 2007  </w:t>
        <w:br/>
        <w:t xml:space="preserve">Millions of Euros Market Share  </w:t>
        <w:br/>
        <w:t xml:space="preserve">Company (%)  </w:t>
        <w:br/>
        <w:t xml:space="preserve">MONROE […] [20-25]  </w:t>
        <w:br/>
        <w:t xml:space="preserve">ZF SACHS […] [10-20]  </w:t>
        <w:br/>
        <w:t xml:space="preserve">KAYABA […] [0-10]  </w:t>
        <w:br/>
        <w:t xml:space="preserve">STABILUS […] [30-40]  </w:t>
        <w:br/>
        <w:t xml:space="preserve">Others […]  </w:t>
        <w:br/>
        <w:t xml:space="preserve">100  </w:t>
        <w:br/>
        <w:t xml:space="preserve">TOTAL […]  </w:t>
        <w:br/>
        <w:t xml:space="preserve">MARKET SHARES OF HYDRAULIC DAMPERS SPAIN  </w:t>
        <w:br/>
        <w:t xml:space="preserve">2007  </w:t>
        <w:br/>
        <w:t xml:space="preserve">Year  </w:t>
        <w:br/>
        <w:t xml:space="preserve">Millions of Euros Market Share  </w:t>
        <w:br/>
        <w:t xml:space="preserve">Company (%)  </w:t>
        <w:br/>
        <w:t xml:space="preserve">ZF SACHS […] [30-40]  </w:t>
        <w:br/>
        <w:t xml:space="preserve">STABILUS […] [60-70]  </w:t>
        <w:br/>
        <w:t xml:space="preserve">Others […]  </w:t>
        <w:br/>
        <w:t xml:space="preserve">[…] 100  </w:t>
        <w:br/>
        <w:t xml:space="preserve">TOTAL  </w:t>
        <w:br/>
        <w:t xml:space="preserve">Source: Notification.  </w:t>
        <w:br/>
        <w:t xml:space="preserve">The market share of STABILUS is below [0-10]% in all considered areas.  </w:t>
        <w:br/>
        <w:t xml:space="preserve">VII. ASSESSMENT OF THE OPERATION  </w:t>
        <w:br/>
        <w:t xml:space="preserve">The notified concentration operation consists of the acquisition by PAINE &amp; PARTNERS of exclusive control of STABILUS.  </w:t>
        <w:br/>
        <w:t xml:space="preserve">As can be inferred from the description of the activities of the parties, there are no overlaps or horizontal or vertical relationships between the activities of PAINE &amp; PARTNERS and those of STABILUS. Likewise, none of the companies controlled by PAINE &amp; PARTNERS is a relevant potential competitor of STABILUS.  </w:t>
        <w:br/>
        <w:t xml:space="preserve">Therefore, despite the high market shares of STABILUS in the gas spring market in all considered geographical areas, there is no modification of the supply structure as a result of the notified operation.  </w:t>
        <w:br/>
        <w:t>In light of the above, it is not foreseeable that the notified operation will result in a threat to effective competition in the considered markets.</w:t>
      </w:r>
    </w:p>
    <w:p>
      <w:r>
        <w:t xml:space="preserve">8. INVESTIGATION OF THE MERGER  </w:t>
        <w:br/>
        <w:t xml:space="preserve">VIII. PROPOSAL  </w:t>
        <w:b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