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https://www.cnmc.es/expedientes/c005008</w:t>
      </w:r>
    </w:p>
    <w:p>
      <w:r>
        <w:t>Pages translated : 7</w:t>
      </w:r>
    </w:p>
    <w:p/>
    <w:p>
      <w:r>
        <w:rPr>
          <w:b/>
        </w:rPr>
        <w:t>[Pages 1–3]</w:t>
      </w:r>
    </w:p>
    <w:p>
      <w:r>
        <w:t>NATIONAL COMMISSION FOR COMPETITION RESOLUTION (File C-0050/08, LA CAIXA/MORGAN STANLEY) COUNCIL Mr. Luis Berenguer Fuster, President Mr. Fernando Torremocha García-Sáenz, Vice President Mr. Emilio Conde Fernández Oliva, Councilor Mr. Miguel Cuerdo Mir, Councilor Ms. Pilar Sánchez Núñez, Councilor Mr. Julio Costas Comesaña, Councilor Ms. Mª Jesús González López, Councilor Ms. Inmaculada Gutiérrez Carrizo, Councilor In Madrid, on March 13, 2008. Having reviewed the file processed in accordance with Law 15/2007, of July 3, on the Defense of Competition, regarding the economic concentration operation consisting of the acquisition by CAJA DE AHORROS Y PENSIONES DE BARCELONA of the entire share capital of the private banking business of MORGAN STANLEY in Spain (File C/0050/08) and agreeing with the report and proposal submitted by the Directorate of Investigation, the Council of the National Commission for Competition has resolved, in application of Article 57.2.a) of the aforementioned Law, to authorize the said concentration operation in the first phase. This Resolution shall be communicated to the Directorate of Investigation of the National Commission for Competition and notified to the interested parties, informing them that it concludes the administrative process and that a contentious-administrative appeal may be filed against it before the National Court, within two months from its notification.</w:t>
      </w:r>
    </w:p>
    <w:p>
      <w:r>
        <w:t>NATIONAL COMMISSION DIRECTORATE OF COMPETITION INVESTIGATION REPORT AND PROPOSAL FOR RESOLUTION FILE C/0050/08 LA CAIXA / MORGAN STANLEY On February 27, 2008, the notification of the concentration operation consisting of the acquisition by Caja de Ahorros y Pensiones de Barcelona (hereinafter "LA CAIXA") of the entire share capital of Morgan Stanley's private banking business in Spain was received by this Directorate of Investigation. This notification has been made by LA CAIXA, as established in Article 8 of Law 15/2007, of July 3, on the Defense of Competition (hereinafter LDC) for exceeding the business volume threshold established in Article 8.1. b). This operation is subject to the provisions of Royal Decree 261/2008, of February 22, which approves the Regulation on the Defense of Competition. Article 57.2. c) of the LDC establishes that the Council of the National Commission for Competition shall issue a resolution in the first phase in which it may decide to initiate the second phase of the procedure when it considers that the concentration may hinder the maintenance of effective competition in all or part of the national market. Furthermore, Article 38.2 of the LDC adds: "The expiration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 According to the above, the deadline to decide to initiate the second phase of the procedure is March 27, 2008, inclusive. After this date, the notified operation will be considered tacitly authorized. I. NATURE OF THE OPERATION The concentration operation consists of the acquisition by LA CAIXA of the entire share capital of Morgan Stanley's private banking business in Spain. The concentration operation is carried out through a share purchase agreement dated January 28, 2008, between LA CAIXA and Morgan Stanley's subsidiary in Spain (Morgan Stanley Spanish Holdings S.L.U), whereby the latter will transfer to LA CAIXA 100% of the shares of the company Morgan Stanley Wealth Management, S.V., S.A.U. (hereinafter "MORGAN STANLEY"), the parent company of Morgan Stanley's private banking division in Spain. This company owns the three subsidiaries that make up the Acquired Business from the perspective of its corporate structure: Morgan Stanley Gestión, S.G.LIC. S.A.U., Morgan Stanley Gestión Pensiones, E.G.F.P., S.A.U., and Morgan Stanley Consulting, S.A. The previous operation is an economic concentration in accordance with the provisions of Article 7.1.b) of the LDC. C/. Barquillo, 5, 28004 MADRID TEL.: 91 536 9003 FAX: 91 536 9005</w:t>
      </w:r>
    </w:p>
    <w:p>
      <w:r>
        <w:t>II. ANCILLARY RESTRICTIONS The purchase agreement contains a non-compete clause whereby, for a period of [&lt;3 years] from the execution of the transaction, the selling party undertakes not to engage in private banking activities in Spain1, and not to offer or propose services directly to any client of Morgan Stanley Spain's private banking business2. On the other hand, the purchase agreement contains a non-solicitation clause, whereby the selling party undertakes to: 1) not enter into any service contract with certain employees of Morgan Stanley Spain's private banking business, except with the consent of LA CAIXA, for a period of [&lt;3 years] from the execution of the transaction; and 2) not solicit any employee of Morgan Stanley's private banking business in Spain, during the period [&lt;3 years]. Section 3 of Article 10 of Law 15/2007 establishes that "certain ancillary restrictions on competition, directly linked to the operation and necessary for its execution, may be understood to be included." Taking into account national and community precedents, as well as the Commission's Communication on restrictions directly linked to the execution of a concentration and necessary for that purpose (2005/C 56/03), it is considered that in this case the content and duration of the non-compete and non-solicitation clauses do not go beyond what is reasonably required by the notified concentration operation. III. APPLICABILITY OF LAW 15/2007 ON THE DEFENSE OF COMPETITION The operation is not of community dimension, as it does not reach the thresholds established in paragraphs 2 and 3 of Article 1 of Council Regulation (EC) No. 139/2004, of January 20, 2004, on the control of concentrations between companies. The notified operation meets the requirements set forth by the LDC for its notification, as it exceeds the threshold established in Article 8.1. b) thereof (business volume threshold). The operation complies with the requirements set forth in Article 56.1.b) for its processing as a simplified procedure, to the extent that the parties' participation in the markets is of little significance, and does not exceed a share of 15% in any relevant market. IV. PARTICIPATING COMPANIES IV.1. LA CAIXA LA CAIXA (www.lacaixa.es) is a financial entity, subject to Legislative Decree 1/1994, of April 6, on Savings Banks of Catalonia, and is registered in the special registry of the Generalitat of Catalonia3. 1 […] 2 This obligation does not affect the services provided to clients when they concern assets they have outside Spain at that time, nor to clients referred to in the Contract as "excluded" (clients of the asset management division "Morgan Stanley Investment Management"). 3 As a Savings Bank, it is a financial institution of a social nature and foundational character, non-profit, not dependent on any other company, dedicated to the collection, administration, and investment of the savings entrusted to it. NATIONAL COMMISSION FOR COMPETITION DIRECTORATE OF INVESTIGATION</w:t>
      </w:r>
    </w:p>
    <w:p>
      <w:r>
        <w:rPr>
          <w:b/>
        </w:rPr>
        <w:t>[Pages 4–6]</w:t>
      </w:r>
    </w:p>
    <w:p>
      <w:r>
        <w:t xml:space="preserve">LA CAIXA is currently the leading savings bank in Spain and the third largest financial entity in the country. It has a network of more than 5,221 branches, over 7,600 ATMs, a workforce of more than 23,000 employees, and more than 10 million clients. LA CAIXA has opted for an investment strategy in business holdings, maintaining a portfolio of interests in financial and insurance companies as well as in industrial entities in the infrastructure, energy, and communications sectors. The listed company Criteria CaixaCorp groups the business holdings of the group. According to the information provided by the notifier, the turnover of LA CAIXA in the last three financial years pursuant to Article 5 of Royal Decree 261/2008, was as follows:  </w:t>
        <w:br/>
        <w:t xml:space="preserve">SALES VOLUME LA CAIXA  </w:t>
        <w:br/>
        <w:t xml:space="preserve">(MILLIONS OF EUROS)  </w:t>
        <w:br/>
        <w:t xml:space="preserve">2005 2006 2007  </w:t>
        <w:br/>
        <w:t xml:space="preserve">Worldwide [&gt;2,500] [&gt;2,500] [&gt;2,500]  </w:t>
        <w:br/>
        <w:t xml:space="preserve">EU [&gt;250] [&gt;250] [&gt;250]  </w:t>
        <w:br/>
        <w:t xml:space="preserve">Spain [&gt;60] [&gt;60] [&gt;60]  </w:t>
        <w:br/>
        <w:t xml:space="preserve">Source: Notification  </w:t>
        <w:br/>
        <w:t xml:space="preserve">IV.2. MORGAN STANLEY  </w:t>
        <w:br/>
        <w:t xml:space="preserve">Morgan Stanley (www.morganstanley.es) is one of the largest companies in the world in the financial services and investment banking sector. It began its operations in Spain in 1987 and in 1999 started its wealth management business.  </w:t>
        <w:br/>
        <w:t xml:space="preserve">The acquired business, MORGAN STANLEY, develops the private banking activity of Morgan Stanley in Spain. This activity consists of providing financial advisory and wealth management services to individual clients with a considerable level of wealth in Spain. Therefore, it does not include the activities carried out by Morgan Stanley in Spain through its asset management division "Morgan Stanley Investment Management."  </w:t>
        <w:br/>
        <w:t xml:space="preserve">From the perspective of its corporate organization, MORGAN STANLEY is the parent company of the private banking division of Morgan Stanley in Spain. Three subsidiaries depend on this company:  </w:t>
        <w:br/>
        <w:t xml:space="preserve">• Morgan Stanley Gestión, S.G.I.IC. S.A.U., a company authorized and registered with the CNMV as a manager of Collective Investment Institutions;  </w:t>
        <w:br/>
        <w:t xml:space="preserve">• Morgan Stanley Gestión Pensiones, E.G.F.P., S.A.U., a company authorized and registered with the Directorate General of Insurance and Pension Funds as a pension fund management entity in Spain; and  </w:t>
        <w:br/>
        <w:t xml:space="preserve">• Morgan Stanley Consulting, S.A., a company that acts as an exclusive agent for the insurer Liberty Insurance Compañía de Seguros y Reaseguros, S.A.  </w:t>
        <w:br/>
        <w:t xml:space="preserve">Additionally, MORGAN STANLEY has a network in Spain of approximately […] offices located in the main cities and provinces of Spain, along with a workforce of […]. According to the information provided by the notifier, the turnover of MORGAN STANLEY in the last three financial years pursuant to Article 5 of Royal Decree 261/2008, was as follows:  </w:t>
        <w:br/>
        <w:t xml:space="preserve">SALES VOLUME MORGAN STANLEY  </w:t>
        <w:br/>
        <w:t xml:space="preserve">(MILLIONS OF EUROS)  </w:t>
        <w:br/>
        <w:t xml:space="preserve">2005 2006 2007  </w:t>
        <w:br/>
        <w:t xml:space="preserve">Worldwide [&lt;2,500] [&lt;2,500] [&lt;2,500]  </w:t>
        <w:br/>
        <w:t xml:space="preserve">EU [&lt;250] [&lt;250] [&lt;250]  </w:t>
        <w:br/>
        <w:t xml:space="preserve">Spain [&lt;60] [&gt;60] [&gt;60]  </w:t>
        <w:br/>
        <w:t xml:space="preserve">Source: Notification  </w:t>
        <w:br/>
        <w:t xml:space="preserve">V. RELEVANT MARKETS  </w:t>
        <w:br/>
        <w:t xml:space="preserve">V.1. Product Markets  </w:t>
        <w:br/>
        <w:t xml:space="preserve">The economic sector affected by the operation is that of financial services, in particular, the private banking sector.  </w:t>
        <w:br/>
        <w:t xml:space="preserve">In national4 and community5 precedents, three subsectors within the banking and financial services sector have traditionally been distinguished:  </w:t>
        <w:br/>
        <w:t xml:space="preserve">(1) Retail banking, oriented towards individual clients, businesses, and SMEs.  </w:t>
        <w:br/>
        <w:t xml:space="preserve">Within this, national and European precedents distinguish several services: deposit taking, granting of credits and loans, operations related to credit and debit cards, and marketing of off-balance sheet resources, such as investment funds, pension funds, and insurance.  </w:t>
        <w:br/>
        <w:t xml:space="preserve">(2) Corporate banking, oriented towards large companies and public bodies and institutions.  </w:t>
        <w:br/>
        <w:t xml:space="preserve">Within this, several services are distinguished: deposits, short and long-term loans, guarantee credits, commercial paper management, foreign trade financing, swaps, leasing, factoring, etc.  </w:t>
        <w:br/>
        <w:t xml:space="preserve">(3) Investment banking and operations in the money markets.  </w:t>
        <w:br/>
        <w:t xml:space="preserve">Within this, several services are distinguished: issuance of instruments (stocks, bonds, etc.), admission to listing on organized markets, mergers, acquisitions, and privatizations, purchase and sale of securities in primary and secondary markets, operations in derivatives, operations in foreign exchange markets and other money markets, etc.  </w:t>
        <w:br/>
        <w:t xml:space="preserve">Within investment banking, a distinction is usually made for what is called private banking.  </w:t>
        <w:br/>
        <w:t xml:space="preserve">This activity is characterized by personalized attention and preferential treatment to clients with considerable wealth (typically over half a million euros), including a full range of financial services/products ranging from investment funds to wealth management through SICAVs, structured intermediary products, derivatives, fixed income, equity, alternative investment, venture capital, hedge funds, fund of funds, fund portfolios, etc.  </w:t>
        <w:br/>
        <w:t xml:space="preserve">To the extent that it does not affect the conclusions of the analysis, for the purposes of this operation, the private banking market will be analyzed, regardless of what the exact dimension of it may be. Likewise, the presence of the parties in certain segments related to it will be examined: management of investment funds, management of SICAVs, and management of pension funds.  </w:t>
        <w:br/>
        <w:t xml:space="preserve">V.2. Geographic Market  </w:t>
        <w:br/>
        <w:t xml:space="preserve">The European Commission has indicated that corporate banking and investment banking could have a transnational and even global geographic scope in the case of large corporations and money market activities. However, in some national precedents, it was considered that certain segments of corporate banking and investment banking may have a national scope.  </w:t>
        <w:br/>
        <w:t xml:space="preserve">Regarding the private banking market, the notifier indicates that there are a number of characteristics of this activity that could suggest that this market has a national geographic scope (e.g., the need for knowledge of the national market, applicable legislation, marketing through a branch network, etc.).  </w:t>
        <w:br/>
        <w:t xml:space="preserve">For all the above reasons, for the purposes of this operation, the effects of the operation will be analyzed in the national geographic scope of the considered markets, although its exact geographic dimension may be left open as long as it does not affect the conclusions of the analysis.  </w:t>
        <w:br/>
        <w:t xml:space="preserve">VI. MARKET ANALYSIS  </w:t>
        <w:br/>
        <w:t xml:space="preserve">The resulting market share in the private banking market in Spain is [10-20]%, with an additional share of almost [0-10] percentage points, moving from being the third entity by market share (LA CAIXA) to being the second (LA CAIXA + MORGAN STANLEY), as shown in the attached table.  </w:t>
        <w:br/>
        <w:t xml:space="preserve">MAIN PRIVATE BANKING ENTITIES IN SPAIN  </w:t>
        <w:br/>
        <w:t xml:space="preserve">(amounts in millions of euros)  </w:t>
        <w:br/>
        <w:t xml:space="preserve">2007 2006 2005  </w:t>
        <w:br/>
        <w:t xml:space="preserve">Entity  </w:t>
        <w:br/>
        <w:t xml:space="preserve">Wealth % Wealth % Wealth %  </w:t>
        <w:br/>
        <w:t xml:space="preserve">SCH6 […] [20-30]% […] [20-30]% […] [20-30]%  </w:t>
        <w:br/>
        <w:t xml:space="preserve">LA CAIXA +  </w:t>
        <w:br/>
        <w:t xml:space="preserve">MORGAN  </w:t>
        <w:br/>
        <w:t xml:space="preserve">STANLEY […] [10-20]% […] [10-20]% […] [0-10]%  </w:t>
        <w:br/>
        <w:t xml:space="preserve">BANKINTER […] [0-10]% […] [0-10]% […] [0-10]%  </w:t>
        <w:br/>
        <w:t xml:space="preserve">LA CAIXA […] [0-10]% […] [0-10]% […] [0-10]%  </w:t>
        <w:br/>
        <w:t xml:space="preserve">BBVA […] [0-10]% […] [0-10]% […] [0-10]%  </w:t>
        <w:br/>
        <w:t xml:space="preserve">DEUTSCHE  </w:t>
        <w:br/>
        <w:t xml:space="preserve">BANK […] [0-10]% […] [0-10]% […] [0-10]%  </w:t>
        <w:br/>
        <w:t xml:space="preserve">MORGAN  </w:t>
        <w:br/>
        <w:t xml:space="preserve">STANLEY […] [0-10]% […] [0-10]% […] [0-10]%  </w:t>
        <w:br/>
        <w:t xml:space="preserve">BANESTO […] [0-10]% […] [0-10]% […] [0-10]%  </w:t>
        <w:br/>
        <w:t>6 Includes data corresponding to the private banking unit of Santander Central Hispano and to "Banif Banca Privada," a subsidiary of Santander Central Hispano, specifically established for private banking.</w:t>
      </w:r>
    </w:p>
    <w:p>
      <w:r>
        <w:rPr>
          <w:b/>
        </w:rPr>
        <w:t>[Pages 7–7]</w:t>
      </w:r>
    </w:p>
    <w:p>
      <w:r>
        <w:t xml:space="preserve">MAIN PRIVATE BANKING ENTITIES IN SPAIN (amounts in millions of euros)  </w:t>
        <w:br/>
        <w:t xml:space="preserve">2007 2006 2005  </w:t>
        <w:br/>
        <w:t xml:space="preserve">Entity  </w:t>
        <w:br/>
        <w:t xml:space="preserve">Assets % Assets % Assets %  </w:t>
        <w:br/>
        <w:t xml:space="preserve">JP MORGAN […] [0-10]% […] [0-10]% […] [0-10]%  </w:t>
        <w:br/>
        <w:t xml:space="preserve">BARCLAYS […] [0-10]% […] [0-10]% […] [0-10]%  </w:t>
        <w:br/>
        <w:t xml:space="preserve">UBS […] [0-10]% […] [0-10]% […] [0-10]%  </w:t>
        <w:br/>
        <w:t xml:space="preserve">OTHERS […] [20-30]% […] [20-30]% […] [20-30]%  </w:t>
        <w:br/>
        <w:t xml:space="preserve">TOTAL […] 100.0 […] 100.0 […] 100.0  </w:t>
        <w:br/>
        <w:t xml:space="preserve">Source: Notifier, based on DBK report and own elaboration.  </w:t>
        <w:br/>
        <w:t xml:space="preserve">The notifier also provides data on the resulting shares in the segments of investment fund management, SICAV management, and pension fund management, obtaining the following results:  </w:t>
        <w:br/>
        <w:t xml:space="preserve">MARKET RESULTING SHARE ADDITION Position in the  </w:t>
        <w:br/>
        <w:t xml:space="preserve">(2007,%) (2007, P.P) ranking of  </w:t>
        <w:br/>
        <w:t xml:space="preserve">LA CAIXA +  </w:t>
        <w:br/>
        <w:t xml:space="preserve">MORGAN STANLEY  </w:t>
        <w:br/>
        <w:t xml:space="preserve">Investment fund management [0-10]% [0-10] Continues to be the  </w:t>
        <w:br/>
        <w:t xml:space="preserve">third entity  </w:t>
        <w:br/>
        <w:t xml:space="preserve">SICAV capital management [0-10]% [0-10] Becomes the fifth  </w:t>
        <w:br/>
        <w:t xml:space="preserve">entity (previously  </w:t>
        <w:br/>
        <w:t xml:space="preserve">positions 11 and 12)  </w:t>
        <w:br/>
        <w:t xml:space="preserve">Pension fund management [10-20]% [0-10] Continues to be the  </w:t>
        <w:br/>
        <w:t xml:space="preserve">third entity  </w:t>
        <w:br/>
        <w:t xml:space="preserve">VII. VALUATION OF THE TRANSACTION  </w:t>
        <w:br/>
        <w:t xml:space="preserve">The concentration operation consists of the acquisition by LA CAIXA of the entire share capital of Morgan Stanley's private banking business in Spain.  </w:t>
        <w:br/>
        <w:t xml:space="preserve">The operation results in the resulting entity's market share in the private banking market in Spain being less than [10-20]% […], with additions of [0-10] percentage points. The resulting entity would occupy the third position in the Spanish private banking market, where there is a high number of competitors.  </w:t>
        <w:br/>
        <w:t xml:space="preserve">In the segments of investment fund management, SICAV capital management, and pension fund management, the additions are small (a maximum of two percentage points) and the resulting market shares are less than [10-20]% ([0-10]%, [0-10]%, and [10-20]%), not resulting in a significant alteration in the structure of the supply.  </w:t>
        <w:br/>
        <w:t xml:space="preserve">In light of the above considerations, it cannot be expected that the notified operation poses a threat to effective competition in any of the considered markets.  </w:t>
        <w:br/>
        <w:t xml:space="preserve">VIII. PROPOSAL  </w:t>
        <w:br/>
        <w:t xml:space="preserve">In view of all the above and by virtue of Article 57.1 of Law 15/2007, of July 3, on the Defense of Competition, it is proposed to authorize the concentration, in application of Article 57.2.a) of Law 15/2007, of July 3, on the Defense of Competition.  </w:t>
        <w:br/>
        <w:t xml:space="preserve">NATIONAL COMMISSION  </w:t>
        <w:br/>
        <w:t xml:space="preserve">FOR COMPETITION  </w:t>
        <w:br/>
        <w:t>DIRECTORATE OF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